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BD" w:rsidRPr="00747848" w:rsidRDefault="007B1ABD" w:rsidP="00752B20">
      <w:pPr>
        <w:tabs>
          <w:tab w:val="left" w:pos="141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3CF1" w:rsidRPr="00747848" w:rsidRDefault="00747848" w:rsidP="00752B20">
      <w:pPr>
        <w:tabs>
          <w:tab w:val="left" w:pos="141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7848">
        <w:rPr>
          <w:rFonts w:ascii="Arial" w:hAnsi="Arial" w:cs="Arial"/>
          <w:sz w:val="24"/>
          <w:szCs w:val="24"/>
        </w:rPr>
        <w:t>ENFERMEDAD CELIACA SILENTE EN UNA PACIENTE OBESA</w:t>
      </w:r>
    </w:p>
    <w:p w:rsidR="0007671E" w:rsidRDefault="00747848" w:rsidP="0007671E">
      <w:pPr>
        <w:tabs>
          <w:tab w:val="left" w:pos="1419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747848">
        <w:rPr>
          <w:rFonts w:ascii="Arial" w:hAnsi="Arial" w:cs="Arial"/>
          <w:sz w:val="24"/>
          <w:szCs w:val="24"/>
          <w:lang w:val="es-ES"/>
        </w:rPr>
        <w:t>SILENT CELIAC DISEASE IN AN OBESE PATIENT</w:t>
      </w:r>
    </w:p>
    <w:p w:rsidR="0007671E" w:rsidRDefault="0007671E" w:rsidP="0007671E">
      <w:pPr>
        <w:tabs>
          <w:tab w:val="left" w:pos="1419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07671E" w:rsidRPr="00747848" w:rsidRDefault="0007671E" w:rsidP="0007671E">
      <w:pPr>
        <w:tabs>
          <w:tab w:val="left" w:pos="1419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Titulo corto: </w:t>
      </w:r>
      <w:r w:rsidRPr="00747848">
        <w:rPr>
          <w:rFonts w:ascii="Arial" w:hAnsi="Arial" w:cs="Arial"/>
          <w:sz w:val="24"/>
          <w:szCs w:val="24"/>
        </w:rPr>
        <w:t>ENFERMEDAD CELIACA SILENTE</w:t>
      </w:r>
    </w:p>
    <w:p w:rsidR="00635011" w:rsidRPr="00747848" w:rsidRDefault="0007671E" w:rsidP="00752B20">
      <w:pPr>
        <w:tabs>
          <w:tab w:val="left" w:pos="141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</w:t>
      </w:r>
      <w:r w:rsidR="00953594">
        <w:rPr>
          <w:rFonts w:ascii="Arial" w:hAnsi="Arial" w:cs="Arial"/>
          <w:sz w:val="24"/>
          <w:szCs w:val="24"/>
          <w:lang w:val="es-ES"/>
        </w:rPr>
        <w:t xml:space="preserve"> </w:t>
      </w:r>
      <w:r w:rsidRPr="00747848">
        <w:rPr>
          <w:rFonts w:ascii="Arial" w:hAnsi="Arial" w:cs="Arial"/>
          <w:sz w:val="24"/>
          <w:szCs w:val="24"/>
          <w:lang w:val="es-ES"/>
        </w:rPr>
        <w:t>SILENT CELIAC DISEASE</w:t>
      </w:r>
    </w:p>
    <w:p w:rsidR="00CF574C" w:rsidRPr="00747848" w:rsidRDefault="00CF574C" w:rsidP="00752B20">
      <w:pPr>
        <w:tabs>
          <w:tab w:val="left" w:pos="141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1F13" w:rsidRPr="00747848" w:rsidRDefault="00453AFA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747848">
        <w:rPr>
          <w:rFonts w:ascii="Arial" w:hAnsi="Arial" w:cs="Arial"/>
          <w:sz w:val="24"/>
          <w:szCs w:val="24"/>
        </w:rPr>
        <w:t xml:space="preserve">Raúl </w:t>
      </w:r>
      <w:r w:rsidR="007B1ABD" w:rsidRPr="00747848">
        <w:rPr>
          <w:rFonts w:ascii="Arial" w:hAnsi="Arial" w:cs="Arial"/>
          <w:sz w:val="24"/>
          <w:szCs w:val="24"/>
        </w:rPr>
        <w:t xml:space="preserve">Emilio </w:t>
      </w:r>
      <w:r w:rsidRPr="00747848">
        <w:rPr>
          <w:rFonts w:ascii="Arial" w:hAnsi="Arial" w:cs="Arial"/>
          <w:sz w:val="24"/>
          <w:szCs w:val="24"/>
        </w:rPr>
        <w:t>Real</w:t>
      </w:r>
      <w:r w:rsidR="007B1ABD" w:rsidRPr="00747848">
        <w:rPr>
          <w:rFonts w:ascii="Arial" w:hAnsi="Arial" w:cs="Arial"/>
          <w:sz w:val="24"/>
          <w:szCs w:val="24"/>
        </w:rPr>
        <w:t xml:space="preserve"> </w:t>
      </w:r>
      <w:r w:rsidR="00EB4DF4" w:rsidRPr="00747848">
        <w:rPr>
          <w:rFonts w:ascii="Arial" w:hAnsi="Arial" w:cs="Arial"/>
          <w:sz w:val="24"/>
          <w:szCs w:val="24"/>
        </w:rPr>
        <w:t>Delor</w:t>
      </w:r>
      <w:r w:rsidR="000B1F31" w:rsidRPr="00747848">
        <w:rPr>
          <w:rFonts w:ascii="Arial" w:hAnsi="Arial" w:cs="Arial"/>
          <w:sz w:val="24"/>
          <w:szCs w:val="24"/>
          <w:vertAlign w:val="superscript"/>
        </w:rPr>
        <w:t>1</w:t>
      </w:r>
    </w:p>
    <w:p w:rsidR="00EB4DF4" w:rsidRPr="00747848" w:rsidRDefault="000B1F31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848">
        <w:rPr>
          <w:rFonts w:ascii="Arial" w:hAnsi="Arial" w:cs="Arial"/>
          <w:sz w:val="24"/>
          <w:szCs w:val="24"/>
          <w:vertAlign w:val="superscript"/>
        </w:rPr>
        <w:t>1</w:t>
      </w:r>
      <w:r w:rsidR="00EB4DF4" w:rsidRPr="00747848">
        <w:rPr>
          <w:rFonts w:ascii="Arial" w:hAnsi="Arial" w:cs="Arial"/>
          <w:sz w:val="24"/>
          <w:szCs w:val="24"/>
        </w:rPr>
        <w:t>Dpto. de Medicina Interna. Hospital Nacional. Itauguá, Paraguay</w:t>
      </w:r>
    </w:p>
    <w:p w:rsidR="00B93CF1" w:rsidRPr="00747848" w:rsidRDefault="00B93CF1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93CF1" w:rsidRPr="00747848" w:rsidRDefault="00B93CF1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7848">
        <w:rPr>
          <w:rFonts w:ascii="Arial" w:hAnsi="Arial" w:cs="Arial"/>
          <w:sz w:val="24"/>
          <w:szCs w:val="24"/>
          <w:lang w:val="es-ES"/>
        </w:rPr>
        <w:t>Autor correspondiente</w:t>
      </w:r>
    </w:p>
    <w:p w:rsidR="00B93CF1" w:rsidRPr="00747848" w:rsidRDefault="00B93CF1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7848">
        <w:rPr>
          <w:rFonts w:ascii="Arial" w:hAnsi="Arial" w:cs="Arial"/>
          <w:sz w:val="24"/>
          <w:szCs w:val="24"/>
          <w:lang w:val="es-ES"/>
        </w:rPr>
        <w:t xml:space="preserve">Dr. Raúl </w:t>
      </w:r>
      <w:r w:rsidR="007B1ABD" w:rsidRPr="00747848">
        <w:rPr>
          <w:rFonts w:ascii="Arial" w:hAnsi="Arial" w:cs="Arial"/>
          <w:sz w:val="24"/>
          <w:szCs w:val="24"/>
          <w:lang w:val="es-ES"/>
        </w:rPr>
        <w:t xml:space="preserve">Emilio </w:t>
      </w:r>
      <w:r w:rsidRPr="00747848">
        <w:rPr>
          <w:rFonts w:ascii="Arial" w:hAnsi="Arial" w:cs="Arial"/>
          <w:sz w:val="24"/>
          <w:szCs w:val="24"/>
          <w:lang w:val="es-ES"/>
        </w:rPr>
        <w:t>Real</w:t>
      </w:r>
      <w:r w:rsidR="007B1ABD" w:rsidRPr="00747848">
        <w:rPr>
          <w:rFonts w:ascii="Arial" w:hAnsi="Arial" w:cs="Arial"/>
          <w:sz w:val="24"/>
          <w:szCs w:val="24"/>
          <w:lang w:val="es-ES"/>
        </w:rPr>
        <w:t xml:space="preserve"> </w:t>
      </w:r>
      <w:r w:rsidRPr="00747848">
        <w:rPr>
          <w:rFonts w:ascii="Arial" w:hAnsi="Arial" w:cs="Arial"/>
          <w:sz w:val="24"/>
          <w:szCs w:val="24"/>
          <w:lang w:val="es-ES"/>
        </w:rPr>
        <w:t>Delor</w:t>
      </w:r>
    </w:p>
    <w:p w:rsidR="00B93CF1" w:rsidRPr="00747848" w:rsidRDefault="00B93CF1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7848">
        <w:rPr>
          <w:rFonts w:ascii="Arial" w:hAnsi="Arial" w:cs="Arial"/>
          <w:sz w:val="24"/>
          <w:szCs w:val="24"/>
          <w:lang w:val="es-ES"/>
        </w:rPr>
        <w:t>Calle R.I.4 Curupayty 978. Asunción, Paraguay</w:t>
      </w:r>
    </w:p>
    <w:p w:rsidR="00B93CF1" w:rsidRPr="00747848" w:rsidRDefault="00B93CF1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7848">
        <w:rPr>
          <w:rFonts w:ascii="Arial" w:hAnsi="Arial" w:cs="Arial"/>
          <w:sz w:val="24"/>
          <w:szCs w:val="24"/>
          <w:lang w:val="es-ES"/>
        </w:rPr>
        <w:t>Teléfono: +595.981261084</w:t>
      </w:r>
    </w:p>
    <w:p w:rsidR="00B93CF1" w:rsidRPr="00747848" w:rsidRDefault="00B93CF1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7848">
        <w:rPr>
          <w:rFonts w:ascii="Arial" w:hAnsi="Arial" w:cs="Arial"/>
          <w:sz w:val="24"/>
          <w:szCs w:val="24"/>
          <w:lang w:val="es-ES"/>
        </w:rPr>
        <w:t xml:space="preserve">Correo electrónico: </w:t>
      </w:r>
      <w:hyperlink r:id="rId8" w:history="1">
        <w:r w:rsidRPr="00747848">
          <w:rPr>
            <w:rStyle w:val="Hipervnculo"/>
            <w:rFonts w:ascii="Arial" w:hAnsi="Arial" w:cs="Arial"/>
            <w:sz w:val="24"/>
            <w:szCs w:val="24"/>
            <w:lang w:val="es-ES"/>
          </w:rPr>
          <w:t>raulemilioreal@gmail.com</w:t>
        </w:r>
      </w:hyperlink>
    </w:p>
    <w:p w:rsidR="00CF574C" w:rsidRPr="00747848" w:rsidRDefault="00CF574C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972" w:rsidRPr="00747848" w:rsidRDefault="00EB4DF4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EA4">
        <w:rPr>
          <w:rFonts w:ascii="Arial" w:hAnsi="Arial" w:cs="Arial"/>
          <w:b/>
          <w:sz w:val="24"/>
          <w:szCs w:val="24"/>
        </w:rPr>
        <w:t>Resumen</w:t>
      </w:r>
    </w:p>
    <w:p w:rsidR="00EB4DF4" w:rsidRDefault="00EB4DF4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848">
        <w:rPr>
          <w:rFonts w:ascii="Arial" w:hAnsi="Arial" w:cs="Arial"/>
          <w:sz w:val="24"/>
          <w:szCs w:val="24"/>
        </w:rPr>
        <w:t>Se presenta caso de paciente obesa a quien se le realiza endoscopía digestiva alta por disfagia tras ingesta accidental de hueso de pollo. Se constata leve esofagitis de reflujo y atrofia duodenal. La biopsia intestinal informa atrofia intestinal con infiltrado inflamatorio. Los autoanticuerpos para enfermedad celiaca resultan positivos. La paciente nunca presentó síntomas digestivos. Se confirma enfermedad celiaca silente</w:t>
      </w:r>
      <w:r w:rsidR="008A187C" w:rsidRPr="00747848">
        <w:rPr>
          <w:rFonts w:ascii="Arial" w:hAnsi="Arial" w:cs="Arial"/>
          <w:sz w:val="24"/>
          <w:szCs w:val="24"/>
        </w:rPr>
        <w:t xml:space="preserve"> e inicia dieta sin gluten.</w:t>
      </w:r>
    </w:p>
    <w:p w:rsidR="0034538B" w:rsidRPr="00747848" w:rsidRDefault="0034538B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4DF4" w:rsidRPr="0034538B" w:rsidRDefault="00EB4DF4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4538B">
        <w:rPr>
          <w:rFonts w:ascii="Arial" w:hAnsi="Arial" w:cs="Arial"/>
          <w:b/>
          <w:i/>
          <w:sz w:val="24"/>
          <w:szCs w:val="24"/>
        </w:rPr>
        <w:t xml:space="preserve">Palabras </w:t>
      </w:r>
      <w:r w:rsidR="004F0EA4" w:rsidRPr="0034538B">
        <w:rPr>
          <w:rFonts w:ascii="Arial" w:hAnsi="Arial" w:cs="Arial"/>
          <w:b/>
          <w:i/>
          <w:sz w:val="24"/>
          <w:szCs w:val="24"/>
        </w:rPr>
        <w:t>clave</w:t>
      </w:r>
      <w:r w:rsidR="00411B87" w:rsidRPr="0034538B">
        <w:rPr>
          <w:rFonts w:ascii="Arial" w:hAnsi="Arial" w:cs="Arial"/>
          <w:b/>
          <w:i/>
          <w:sz w:val="24"/>
          <w:szCs w:val="24"/>
        </w:rPr>
        <w:t>:</w:t>
      </w:r>
      <w:r w:rsidR="00411B87" w:rsidRPr="0034538B">
        <w:rPr>
          <w:rFonts w:ascii="Arial" w:hAnsi="Arial" w:cs="Arial"/>
          <w:i/>
          <w:sz w:val="24"/>
          <w:szCs w:val="24"/>
        </w:rPr>
        <w:t xml:space="preserve"> enfermedad celiaca; atrofia intestinal;</w:t>
      </w:r>
      <w:r w:rsidRPr="0034538B">
        <w:rPr>
          <w:rFonts w:ascii="Arial" w:hAnsi="Arial" w:cs="Arial"/>
          <w:i/>
          <w:sz w:val="24"/>
          <w:szCs w:val="24"/>
        </w:rPr>
        <w:t xml:space="preserve"> obesidad</w:t>
      </w:r>
    </w:p>
    <w:p w:rsidR="00177E50" w:rsidRPr="00747848" w:rsidRDefault="00177E50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3CF1" w:rsidRPr="00747848" w:rsidRDefault="00B93CF1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F0EA4">
        <w:rPr>
          <w:rFonts w:ascii="Arial" w:hAnsi="Arial" w:cs="Arial"/>
          <w:b/>
          <w:sz w:val="24"/>
          <w:szCs w:val="24"/>
          <w:lang w:val="es-ES"/>
        </w:rPr>
        <w:t>Abstract</w:t>
      </w:r>
    </w:p>
    <w:p w:rsidR="00B93CF1" w:rsidRDefault="00B93CF1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47848">
        <w:rPr>
          <w:rFonts w:ascii="Arial" w:hAnsi="Arial" w:cs="Arial"/>
          <w:sz w:val="24"/>
          <w:szCs w:val="24"/>
          <w:lang w:val="en-US"/>
        </w:rPr>
        <w:t xml:space="preserve">We present an obese patient who underwent high digestive endoscopy due to </w:t>
      </w:r>
      <w:proofErr w:type="spellStart"/>
      <w:r w:rsidRPr="00747848">
        <w:rPr>
          <w:rFonts w:ascii="Arial" w:hAnsi="Arial" w:cs="Arial"/>
          <w:sz w:val="24"/>
          <w:szCs w:val="24"/>
          <w:lang w:val="en-US"/>
        </w:rPr>
        <w:t>dysphagia</w:t>
      </w:r>
      <w:proofErr w:type="spellEnd"/>
      <w:r w:rsidRPr="00747848">
        <w:rPr>
          <w:rFonts w:ascii="Arial" w:hAnsi="Arial" w:cs="Arial"/>
          <w:sz w:val="24"/>
          <w:szCs w:val="24"/>
          <w:lang w:val="en-US"/>
        </w:rPr>
        <w:t xml:space="preserve"> after accidental ingestion of chicken bone. There is mild reflux </w:t>
      </w:r>
      <w:proofErr w:type="spellStart"/>
      <w:r w:rsidRPr="00747848">
        <w:rPr>
          <w:rFonts w:ascii="Arial" w:hAnsi="Arial" w:cs="Arial"/>
          <w:sz w:val="24"/>
          <w:szCs w:val="24"/>
          <w:lang w:val="en-US"/>
        </w:rPr>
        <w:t>oesophagitis</w:t>
      </w:r>
      <w:proofErr w:type="spellEnd"/>
      <w:r w:rsidRPr="00747848">
        <w:rPr>
          <w:rFonts w:ascii="Arial" w:hAnsi="Arial" w:cs="Arial"/>
          <w:sz w:val="24"/>
          <w:szCs w:val="24"/>
          <w:lang w:val="en-US"/>
        </w:rPr>
        <w:t xml:space="preserve"> and duodenal atrophy. Intestinal biopsy reports severe villous atrophy with </w:t>
      </w:r>
      <w:proofErr w:type="spellStart"/>
      <w:r w:rsidRPr="00747848">
        <w:rPr>
          <w:rFonts w:ascii="Arial" w:hAnsi="Arial" w:cs="Arial"/>
          <w:sz w:val="24"/>
          <w:szCs w:val="24"/>
          <w:lang w:val="en-US"/>
        </w:rPr>
        <w:t>lymphoplasmocytic</w:t>
      </w:r>
      <w:proofErr w:type="spellEnd"/>
      <w:r w:rsidRPr="00747848">
        <w:rPr>
          <w:rFonts w:ascii="Arial" w:hAnsi="Arial" w:cs="Arial"/>
          <w:sz w:val="24"/>
          <w:szCs w:val="24"/>
          <w:lang w:val="en-US"/>
        </w:rPr>
        <w:t xml:space="preserve"> infiltrate. </w:t>
      </w:r>
      <w:proofErr w:type="spellStart"/>
      <w:r w:rsidRPr="00747848">
        <w:rPr>
          <w:rFonts w:ascii="Arial" w:hAnsi="Arial" w:cs="Arial"/>
          <w:sz w:val="24"/>
          <w:szCs w:val="24"/>
          <w:lang w:val="en-US"/>
        </w:rPr>
        <w:t>Autoantibodies</w:t>
      </w:r>
      <w:proofErr w:type="spellEnd"/>
      <w:r w:rsidRPr="00747848">
        <w:rPr>
          <w:rFonts w:ascii="Arial" w:hAnsi="Arial" w:cs="Arial"/>
          <w:sz w:val="24"/>
          <w:szCs w:val="24"/>
          <w:lang w:val="en-US"/>
        </w:rPr>
        <w:t xml:space="preserve"> for celiac disease return positive. The patient never presented digestive symptoms.</w:t>
      </w:r>
    </w:p>
    <w:p w:rsidR="004F0EA4" w:rsidRPr="00747848" w:rsidRDefault="004F0EA4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93CF1" w:rsidRPr="0034538B" w:rsidRDefault="00B93CF1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4538B">
        <w:rPr>
          <w:rFonts w:ascii="Arial" w:hAnsi="Arial" w:cs="Arial"/>
          <w:b/>
          <w:i/>
          <w:sz w:val="24"/>
          <w:szCs w:val="24"/>
          <w:lang w:val="en-US"/>
        </w:rPr>
        <w:t>Key words</w:t>
      </w:r>
      <w:r w:rsidRPr="0034538B">
        <w:rPr>
          <w:rFonts w:ascii="Arial" w:hAnsi="Arial" w:cs="Arial"/>
          <w:i/>
          <w:sz w:val="24"/>
          <w:szCs w:val="24"/>
          <w:lang w:val="en-US"/>
        </w:rPr>
        <w:t>:</w:t>
      </w:r>
      <w:r w:rsidR="00411B87" w:rsidRPr="0034538B">
        <w:rPr>
          <w:rFonts w:ascii="Arial" w:hAnsi="Arial" w:cs="Arial"/>
          <w:i/>
          <w:sz w:val="24"/>
          <w:szCs w:val="24"/>
          <w:lang w:val="en-US"/>
        </w:rPr>
        <w:t xml:space="preserve"> celiac disease; intestinal atrophy;</w:t>
      </w:r>
      <w:r w:rsidRPr="0034538B">
        <w:rPr>
          <w:rFonts w:ascii="Arial" w:hAnsi="Arial" w:cs="Arial"/>
          <w:i/>
          <w:sz w:val="24"/>
          <w:szCs w:val="24"/>
          <w:lang w:val="en-US"/>
        </w:rPr>
        <w:t xml:space="preserve"> obesity</w:t>
      </w:r>
    </w:p>
    <w:p w:rsidR="00BB37A4" w:rsidRPr="00747848" w:rsidRDefault="00BB37A4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37A4" w:rsidRPr="00747848" w:rsidRDefault="00BB37A4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6360" w:rsidRPr="00747848" w:rsidRDefault="000A768F" w:rsidP="004F0EA4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Introducció</w:t>
      </w:r>
      <w:r w:rsidRPr="000A768F">
        <w:rPr>
          <w:rFonts w:ascii="Arial" w:hAnsi="Arial" w:cs="Arial"/>
          <w:b/>
          <w:sz w:val="24"/>
          <w:szCs w:val="24"/>
        </w:rPr>
        <w:t>n</w:t>
      </w:r>
      <w:r w:rsidR="004F0EA4">
        <w:rPr>
          <w:rFonts w:ascii="Arial" w:hAnsi="Arial" w:cs="Arial"/>
          <w:b/>
          <w:sz w:val="24"/>
          <w:szCs w:val="24"/>
        </w:rPr>
        <w:t>:</w:t>
      </w:r>
    </w:p>
    <w:p w:rsidR="00226360" w:rsidRPr="00747848" w:rsidRDefault="00226360" w:rsidP="00752B20">
      <w:pPr>
        <w:tabs>
          <w:tab w:val="left" w:pos="141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6360" w:rsidRPr="0097495C" w:rsidRDefault="00226360" w:rsidP="00752B20">
      <w:pPr>
        <w:tabs>
          <w:tab w:val="left" w:pos="141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7848">
        <w:rPr>
          <w:rFonts w:ascii="Arial" w:hAnsi="Arial" w:cs="Arial"/>
          <w:sz w:val="24"/>
          <w:szCs w:val="24"/>
        </w:rPr>
        <w:t>La enfermedad celiaca (EC) es una afección sistémica, autoinmune, que se presenta en personas genéticamente predispuestas, generalmente mujeres, desencadenada por el gluten de la dieta</w:t>
      </w:r>
      <w:r w:rsidR="0097495C">
        <w:rPr>
          <w:rFonts w:ascii="Arial" w:hAnsi="Arial" w:cs="Arial"/>
          <w:sz w:val="24"/>
          <w:szCs w:val="24"/>
        </w:rPr>
        <w:t xml:space="preserve"> </w:t>
      </w:r>
      <w:r w:rsidR="0097495C" w:rsidRPr="0097495C">
        <w:rPr>
          <w:rFonts w:ascii="Arial" w:hAnsi="Arial" w:cs="Arial"/>
          <w:sz w:val="24"/>
          <w:szCs w:val="24"/>
          <w:vertAlign w:val="superscript"/>
        </w:rPr>
        <w:t>(1)</w:t>
      </w:r>
      <w:r w:rsidR="0097495C">
        <w:rPr>
          <w:rFonts w:ascii="Arial" w:hAnsi="Arial" w:cs="Arial"/>
          <w:sz w:val="24"/>
          <w:szCs w:val="24"/>
        </w:rPr>
        <w:t>.</w:t>
      </w:r>
    </w:p>
    <w:p w:rsidR="00226360" w:rsidRPr="00747848" w:rsidRDefault="00226360" w:rsidP="00752B20">
      <w:pPr>
        <w:tabs>
          <w:tab w:val="left" w:pos="141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7848">
        <w:rPr>
          <w:rFonts w:ascii="Arial" w:hAnsi="Arial" w:cs="Arial"/>
          <w:sz w:val="24"/>
          <w:szCs w:val="24"/>
        </w:rPr>
        <w:t>La presentación clínica clásica ocurre en la infancia con un cuadro diarreico crónico y desnutrición. Pero existen formas clínicas atípicas y silentes. Estas últimas se presentan en familiares consanguíneos de celiacos y en sujetos pe</w:t>
      </w:r>
      <w:r w:rsidR="00491629" w:rsidRPr="00747848">
        <w:rPr>
          <w:rFonts w:ascii="Arial" w:hAnsi="Arial" w:cs="Arial"/>
          <w:sz w:val="24"/>
          <w:szCs w:val="24"/>
        </w:rPr>
        <w:t>rtenecientes a grupos de riesgo. Los algoritmos diagnósticos proponen identificar a los sujetos clínicamente sospechosos y aquellos en riesgo de EC, dosar los autoanticuerpos y confirm</w:t>
      </w:r>
      <w:r w:rsidR="0097495C">
        <w:rPr>
          <w:rFonts w:ascii="Arial" w:hAnsi="Arial" w:cs="Arial"/>
          <w:sz w:val="24"/>
          <w:szCs w:val="24"/>
        </w:rPr>
        <w:t xml:space="preserve">ar con la biopsia duodenal </w:t>
      </w:r>
      <w:r w:rsidR="0097495C" w:rsidRPr="0097495C">
        <w:rPr>
          <w:rFonts w:ascii="Arial" w:hAnsi="Arial" w:cs="Arial"/>
          <w:sz w:val="24"/>
          <w:szCs w:val="24"/>
          <w:vertAlign w:val="superscript"/>
        </w:rPr>
        <w:t>(2)</w:t>
      </w:r>
      <w:r w:rsidR="0097495C">
        <w:rPr>
          <w:rFonts w:ascii="Arial" w:hAnsi="Arial" w:cs="Arial"/>
          <w:sz w:val="24"/>
          <w:szCs w:val="24"/>
        </w:rPr>
        <w:t>.</w:t>
      </w:r>
      <w:r w:rsidR="00491629" w:rsidRPr="00747848">
        <w:rPr>
          <w:rFonts w:ascii="Arial" w:hAnsi="Arial" w:cs="Arial"/>
          <w:sz w:val="24"/>
          <w:szCs w:val="24"/>
        </w:rPr>
        <w:t xml:space="preserve"> El caso a presentar es atípico por varios motivos.</w:t>
      </w:r>
    </w:p>
    <w:p w:rsidR="00226360" w:rsidRPr="00747848" w:rsidRDefault="00226360" w:rsidP="00752B20">
      <w:pPr>
        <w:tabs>
          <w:tab w:val="left" w:pos="141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A187C" w:rsidRPr="000A768F" w:rsidRDefault="000A768F" w:rsidP="004F0EA4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768F">
        <w:rPr>
          <w:rFonts w:ascii="Arial" w:hAnsi="Arial" w:cs="Arial"/>
          <w:b/>
          <w:sz w:val="24"/>
          <w:szCs w:val="24"/>
        </w:rPr>
        <w:t>Reporte clínico</w:t>
      </w:r>
      <w:r w:rsidR="004F0EA4">
        <w:rPr>
          <w:rFonts w:ascii="Arial" w:hAnsi="Arial" w:cs="Arial"/>
          <w:b/>
          <w:sz w:val="24"/>
          <w:szCs w:val="24"/>
        </w:rPr>
        <w:t>:</w:t>
      </w:r>
    </w:p>
    <w:p w:rsidR="00050972" w:rsidRPr="00747848" w:rsidRDefault="00050972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574C" w:rsidRPr="00747848" w:rsidRDefault="00A6157B" w:rsidP="00752B20">
      <w:pPr>
        <w:tabs>
          <w:tab w:val="left" w:pos="141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7848">
        <w:rPr>
          <w:rFonts w:ascii="Arial" w:hAnsi="Arial" w:cs="Arial"/>
          <w:sz w:val="24"/>
          <w:szCs w:val="24"/>
        </w:rPr>
        <w:t>Mujer de 42</w:t>
      </w:r>
      <w:r w:rsidR="008A187C" w:rsidRPr="00747848">
        <w:rPr>
          <w:rFonts w:ascii="Arial" w:hAnsi="Arial" w:cs="Arial"/>
          <w:sz w:val="24"/>
          <w:szCs w:val="24"/>
        </w:rPr>
        <w:t xml:space="preserve"> años, médica, consultó </w:t>
      </w:r>
      <w:r w:rsidR="00DE564F" w:rsidRPr="00747848">
        <w:rPr>
          <w:rFonts w:ascii="Arial" w:hAnsi="Arial" w:cs="Arial"/>
          <w:sz w:val="24"/>
          <w:szCs w:val="24"/>
        </w:rPr>
        <w:t xml:space="preserve">en noviembre del 2016 </w:t>
      </w:r>
      <w:r w:rsidR="008A187C" w:rsidRPr="00747848">
        <w:rPr>
          <w:rFonts w:ascii="Arial" w:hAnsi="Arial" w:cs="Arial"/>
          <w:sz w:val="24"/>
          <w:szCs w:val="24"/>
        </w:rPr>
        <w:t xml:space="preserve">con Gastroenterólogo por presentar odinofagia </w:t>
      </w:r>
      <w:r w:rsidR="003052A0" w:rsidRPr="00747848">
        <w:rPr>
          <w:rFonts w:ascii="Arial" w:hAnsi="Arial" w:cs="Arial"/>
          <w:sz w:val="24"/>
          <w:szCs w:val="24"/>
        </w:rPr>
        <w:t xml:space="preserve">intensa y </w:t>
      </w:r>
      <w:r w:rsidR="008A187C" w:rsidRPr="00747848">
        <w:rPr>
          <w:rFonts w:ascii="Arial" w:hAnsi="Arial" w:cs="Arial"/>
          <w:sz w:val="24"/>
          <w:szCs w:val="24"/>
        </w:rPr>
        <w:t>persistente tras ingesta accidental de hueso de pollo con las comidas</w:t>
      </w:r>
      <w:r w:rsidR="00D91BAB" w:rsidRPr="00747848">
        <w:rPr>
          <w:rFonts w:ascii="Arial" w:hAnsi="Arial" w:cs="Arial"/>
          <w:sz w:val="24"/>
          <w:szCs w:val="24"/>
        </w:rPr>
        <w:t xml:space="preserve"> una semana antes</w:t>
      </w:r>
      <w:r w:rsidR="008A187C" w:rsidRPr="00747848">
        <w:rPr>
          <w:rFonts w:ascii="Arial" w:hAnsi="Arial" w:cs="Arial"/>
          <w:sz w:val="24"/>
          <w:szCs w:val="24"/>
        </w:rPr>
        <w:t xml:space="preserve">. Se </w:t>
      </w:r>
      <w:r w:rsidR="003052A0" w:rsidRPr="00747848">
        <w:rPr>
          <w:rFonts w:ascii="Arial" w:hAnsi="Arial" w:cs="Arial"/>
          <w:sz w:val="24"/>
          <w:szCs w:val="24"/>
        </w:rPr>
        <w:t xml:space="preserve">le </w:t>
      </w:r>
      <w:r w:rsidR="008A187C" w:rsidRPr="00747848">
        <w:rPr>
          <w:rFonts w:ascii="Arial" w:hAnsi="Arial" w:cs="Arial"/>
          <w:sz w:val="24"/>
          <w:szCs w:val="24"/>
        </w:rPr>
        <w:t xml:space="preserve">practica </w:t>
      </w:r>
      <w:r w:rsidR="00F1451F" w:rsidRPr="00747848">
        <w:rPr>
          <w:rFonts w:ascii="Arial" w:hAnsi="Arial" w:cs="Arial"/>
          <w:sz w:val="24"/>
          <w:szCs w:val="24"/>
        </w:rPr>
        <w:t xml:space="preserve">prueba de deglución y </w:t>
      </w:r>
      <w:r w:rsidR="008A187C" w:rsidRPr="00747848">
        <w:rPr>
          <w:rFonts w:ascii="Arial" w:hAnsi="Arial" w:cs="Arial"/>
          <w:sz w:val="24"/>
          <w:szCs w:val="24"/>
        </w:rPr>
        <w:t>esofagograma</w:t>
      </w:r>
      <w:r w:rsidR="00D91BAB" w:rsidRPr="00747848">
        <w:rPr>
          <w:rFonts w:ascii="Arial" w:hAnsi="Arial" w:cs="Arial"/>
          <w:sz w:val="24"/>
          <w:szCs w:val="24"/>
        </w:rPr>
        <w:t xml:space="preserve"> </w:t>
      </w:r>
      <w:r w:rsidR="007608CA" w:rsidRPr="00747848">
        <w:rPr>
          <w:rFonts w:ascii="Arial" w:hAnsi="Arial" w:cs="Arial"/>
          <w:sz w:val="24"/>
          <w:szCs w:val="24"/>
        </w:rPr>
        <w:t xml:space="preserve">digital </w:t>
      </w:r>
      <w:r w:rsidR="003052A0" w:rsidRPr="00747848">
        <w:rPr>
          <w:rFonts w:ascii="Arial" w:hAnsi="Arial" w:cs="Arial"/>
          <w:sz w:val="24"/>
          <w:szCs w:val="24"/>
        </w:rPr>
        <w:t>contrast</w:t>
      </w:r>
      <w:r w:rsidR="00D91BAB" w:rsidRPr="00747848">
        <w:rPr>
          <w:rFonts w:ascii="Arial" w:hAnsi="Arial" w:cs="Arial"/>
          <w:sz w:val="24"/>
          <w:szCs w:val="24"/>
        </w:rPr>
        <w:t xml:space="preserve">ado constatándose </w:t>
      </w:r>
      <w:r w:rsidR="007608CA" w:rsidRPr="00747848">
        <w:rPr>
          <w:rFonts w:ascii="Arial" w:hAnsi="Arial" w:cs="Arial"/>
          <w:sz w:val="24"/>
          <w:szCs w:val="24"/>
        </w:rPr>
        <w:t>deglución simétrica, pequeño divertículo en esófago superior, hernia del hiato diafragmático con reflujo gastroesofágico postural que llega al tercio superior del esófago</w:t>
      </w:r>
      <w:r w:rsidR="00D91BAB" w:rsidRPr="00747848">
        <w:rPr>
          <w:rFonts w:ascii="Arial" w:hAnsi="Arial" w:cs="Arial"/>
          <w:sz w:val="24"/>
          <w:szCs w:val="24"/>
        </w:rPr>
        <w:t xml:space="preserve">. </w:t>
      </w:r>
    </w:p>
    <w:p w:rsidR="00CF574C" w:rsidRPr="00747848" w:rsidRDefault="00CF574C" w:rsidP="00752B20">
      <w:pPr>
        <w:tabs>
          <w:tab w:val="left" w:pos="141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7848">
        <w:rPr>
          <w:rFonts w:ascii="Arial" w:hAnsi="Arial" w:cs="Arial"/>
          <w:sz w:val="24"/>
          <w:szCs w:val="24"/>
        </w:rPr>
        <w:t>Al examen físico se constata peso 89 kg, talla 1,63</w:t>
      </w:r>
      <w:r w:rsidR="003052A0" w:rsidRPr="00747848">
        <w:rPr>
          <w:rFonts w:ascii="Arial" w:hAnsi="Arial" w:cs="Arial"/>
          <w:sz w:val="24"/>
          <w:szCs w:val="24"/>
        </w:rPr>
        <w:t xml:space="preserve"> m,</w:t>
      </w:r>
      <w:r w:rsidRPr="00747848">
        <w:rPr>
          <w:rFonts w:ascii="Arial" w:hAnsi="Arial" w:cs="Arial"/>
          <w:sz w:val="24"/>
          <w:szCs w:val="24"/>
        </w:rPr>
        <w:t xml:space="preserve"> IMC 33,4 kg/m</w:t>
      </w:r>
      <w:r w:rsidRPr="00747848">
        <w:rPr>
          <w:rFonts w:ascii="Arial" w:hAnsi="Arial" w:cs="Arial"/>
          <w:sz w:val="24"/>
          <w:szCs w:val="24"/>
          <w:vertAlign w:val="superscript"/>
        </w:rPr>
        <w:t>2</w:t>
      </w:r>
      <w:r w:rsidRPr="00747848">
        <w:rPr>
          <w:rFonts w:ascii="Arial" w:hAnsi="Arial" w:cs="Arial"/>
          <w:sz w:val="24"/>
          <w:szCs w:val="24"/>
        </w:rPr>
        <w:t>. El hemograma, glicemia, lipidograma, perfil renal, hepatograma y orina resultaron normales. Niega antecedentes patológicos personales y familiares de interés.</w:t>
      </w:r>
    </w:p>
    <w:p w:rsidR="007A75FC" w:rsidRPr="00747848" w:rsidRDefault="00CF574C" w:rsidP="00752B20">
      <w:pPr>
        <w:tabs>
          <w:tab w:val="left" w:pos="141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7848">
        <w:rPr>
          <w:rFonts w:ascii="Arial" w:hAnsi="Arial" w:cs="Arial"/>
          <w:sz w:val="24"/>
          <w:szCs w:val="24"/>
        </w:rPr>
        <w:t>Ante la persistencia de odinofagia se realiz</w:t>
      </w:r>
      <w:r w:rsidR="00C9297F" w:rsidRPr="00747848">
        <w:rPr>
          <w:rFonts w:ascii="Arial" w:hAnsi="Arial" w:cs="Arial"/>
          <w:sz w:val="24"/>
          <w:szCs w:val="24"/>
        </w:rPr>
        <w:t xml:space="preserve">a manometría esofágica estacionaria con sonda de perfusión de 22 canales </w:t>
      </w:r>
      <w:r w:rsidRPr="00747848">
        <w:rPr>
          <w:rFonts w:ascii="Arial" w:hAnsi="Arial" w:cs="Arial"/>
          <w:sz w:val="24"/>
          <w:szCs w:val="24"/>
        </w:rPr>
        <w:t xml:space="preserve">que </w:t>
      </w:r>
      <w:r w:rsidR="00C9297F" w:rsidRPr="00747848">
        <w:rPr>
          <w:rFonts w:ascii="Arial" w:hAnsi="Arial" w:cs="Arial"/>
          <w:sz w:val="24"/>
          <w:szCs w:val="24"/>
        </w:rPr>
        <w:t xml:space="preserve">resultó normal. </w:t>
      </w:r>
      <w:r w:rsidR="00D91BAB" w:rsidRPr="00747848">
        <w:rPr>
          <w:rFonts w:ascii="Arial" w:hAnsi="Arial" w:cs="Arial"/>
          <w:sz w:val="24"/>
          <w:szCs w:val="24"/>
        </w:rPr>
        <w:t>Debido a la continuidad de los síntomas se le realiza endoscopía digestiv</w:t>
      </w:r>
      <w:r w:rsidR="00A43D3D" w:rsidRPr="00747848">
        <w:rPr>
          <w:rFonts w:ascii="Arial" w:hAnsi="Arial" w:cs="Arial"/>
          <w:sz w:val="24"/>
          <w:szCs w:val="24"/>
        </w:rPr>
        <w:t>a</w:t>
      </w:r>
      <w:r w:rsidR="00BF31F4" w:rsidRPr="00747848">
        <w:rPr>
          <w:rFonts w:ascii="Arial" w:hAnsi="Arial" w:cs="Arial"/>
          <w:sz w:val="24"/>
          <w:szCs w:val="24"/>
        </w:rPr>
        <w:t xml:space="preserve"> alta hallándose esófago</w:t>
      </w:r>
      <w:r w:rsidR="00E246CE" w:rsidRPr="00747848">
        <w:rPr>
          <w:rFonts w:ascii="Arial" w:hAnsi="Arial" w:cs="Arial"/>
          <w:sz w:val="24"/>
          <w:szCs w:val="24"/>
        </w:rPr>
        <w:t xml:space="preserve"> de aspecto normal (fig.</w:t>
      </w:r>
      <w:r w:rsidR="00A43D3D" w:rsidRPr="00747848">
        <w:rPr>
          <w:rFonts w:ascii="Arial" w:hAnsi="Arial" w:cs="Arial"/>
          <w:sz w:val="24"/>
          <w:szCs w:val="24"/>
        </w:rPr>
        <w:t xml:space="preserve"> 1c) y con pequeño dive</w:t>
      </w:r>
      <w:r w:rsidR="00E246CE" w:rsidRPr="00747848">
        <w:rPr>
          <w:rFonts w:ascii="Arial" w:hAnsi="Arial" w:cs="Arial"/>
          <w:sz w:val="24"/>
          <w:szCs w:val="24"/>
        </w:rPr>
        <w:t>rtículo en tercio superior (fig.</w:t>
      </w:r>
      <w:r w:rsidR="00A43D3D" w:rsidRPr="00747848">
        <w:rPr>
          <w:rFonts w:ascii="Arial" w:hAnsi="Arial" w:cs="Arial"/>
          <w:sz w:val="24"/>
          <w:szCs w:val="24"/>
        </w:rPr>
        <w:t xml:space="preserve"> 1d)</w:t>
      </w:r>
      <w:r w:rsidR="00D91BAB" w:rsidRPr="00747848">
        <w:rPr>
          <w:rFonts w:ascii="Arial" w:hAnsi="Arial" w:cs="Arial"/>
          <w:sz w:val="24"/>
          <w:szCs w:val="24"/>
        </w:rPr>
        <w:t>,</w:t>
      </w:r>
      <w:r w:rsidR="00A43D3D" w:rsidRPr="00747848">
        <w:rPr>
          <w:rFonts w:ascii="Arial" w:hAnsi="Arial" w:cs="Arial"/>
          <w:sz w:val="24"/>
          <w:szCs w:val="24"/>
        </w:rPr>
        <w:t xml:space="preserve"> mucosa </w:t>
      </w:r>
      <w:proofErr w:type="spellStart"/>
      <w:r w:rsidR="00A43D3D" w:rsidRPr="00747848">
        <w:rPr>
          <w:rFonts w:ascii="Arial" w:hAnsi="Arial" w:cs="Arial"/>
          <w:sz w:val="24"/>
          <w:szCs w:val="24"/>
        </w:rPr>
        <w:t>antral</w:t>
      </w:r>
      <w:proofErr w:type="spellEnd"/>
      <w:r w:rsidR="00A43D3D" w:rsidRPr="00747848">
        <w:rPr>
          <w:rFonts w:ascii="Arial" w:hAnsi="Arial" w:cs="Arial"/>
          <w:sz w:val="24"/>
          <w:szCs w:val="24"/>
        </w:rPr>
        <w:t xml:space="preserve"> eritematosa, bulbo duodenal con asp</w:t>
      </w:r>
      <w:r w:rsidR="00E246CE" w:rsidRPr="00747848">
        <w:rPr>
          <w:rFonts w:ascii="Arial" w:hAnsi="Arial" w:cs="Arial"/>
          <w:sz w:val="24"/>
          <w:szCs w:val="24"/>
        </w:rPr>
        <w:t>ecto de empedrado (fig.</w:t>
      </w:r>
      <w:r w:rsidR="00A43D3D" w:rsidRPr="00747848">
        <w:rPr>
          <w:rFonts w:ascii="Arial" w:hAnsi="Arial" w:cs="Arial"/>
          <w:sz w:val="24"/>
          <w:szCs w:val="24"/>
        </w:rPr>
        <w:t xml:space="preserve"> 1b) y con plieg</w:t>
      </w:r>
      <w:r w:rsidR="00E246CE" w:rsidRPr="00747848">
        <w:rPr>
          <w:rFonts w:ascii="Arial" w:hAnsi="Arial" w:cs="Arial"/>
          <w:sz w:val="24"/>
          <w:szCs w:val="24"/>
        </w:rPr>
        <w:t>ues duodenales disminuidos (fig.</w:t>
      </w:r>
      <w:r w:rsidR="00A43D3D" w:rsidRPr="00747848">
        <w:rPr>
          <w:rFonts w:ascii="Arial" w:hAnsi="Arial" w:cs="Arial"/>
          <w:sz w:val="24"/>
          <w:szCs w:val="24"/>
        </w:rPr>
        <w:t xml:space="preserve"> 1a)</w:t>
      </w:r>
      <w:r w:rsidR="00D91BAB" w:rsidRPr="00747848">
        <w:rPr>
          <w:rFonts w:ascii="Arial" w:hAnsi="Arial" w:cs="Arial"/>
          <w:sz w:val="24"/>
          <w:szCs w:val="24"/>
        </w:rPr>
        <w:t xml:space="preserve">. Se </w:t>
      </w:r>
      <w:r w:rsidR="003052A0" w:rsidRPr="00747848">
        <w:rPr>
          <w:rFonts w:ascii="Arial" w:hAnsi="Arial" w:cs="Arial"/>
          <w:sz w:val="24"/>
          <w:szCs w:val="24"/>
        </w:rPr>
        <w:t xml:space="preserve">practican biopsias múltiples. </w:t>
      </w:r>
    </w:p>
    <w:p w:rsidR="00711172" w:rsidRPr="00747848" w:rsidRDefault="00711172" w:rsidP="00752B20">
      <w:pPr>
        <w:tabs>
          <w:tab w:val="left" w:pos="141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A75FC" w:rsidRPr="00747848" w:rsidRDefault="007A75FC" w:rsidP="00752B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7848">
        <w:rPr>
          <w:rFonts w:ascii="Arial" w:hAnsi="Arial" w:cs="Arial"/>
          <w:sz w:val="24"/>
          <w:szCs w:val="24"/>
        </w:rPr>
        <w:t>Fig. 1. Endoscopía digestiva alta mostrando: a. pliegues duodenales disminuidos; b. bulbo duodenal con aspecto de empedrado; c. esófago de aspecto normal; d. divertículo en tercio superior de esófago (cortesía Dr. José Villarejo)</w:t>
      </w:r>
    </w:p>
    <w:p w:rsidR="007A75FC" w:rsidRPr="00747848" w:rsidRDefault="007A75FC" w:rsidP="00752B20">
      <w:pPr>
        <w:tabs>
          <w:tab w:val="left" w:pos="141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52E55" w:rsidRPr="00747848" w:rsidRDefault="003052A0" w:rsidP="00752B20">
      <w:pPr>
        <w:tabs>
          <w:tab w:val="left" w:pos="141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7848">
        <w:rPr>
          <w:rFonts w:ascii="Arial" w:hAnsi="Arial" w:cs="Arial"/>
          <w:sz w:val="24"/>
          <w:szCs w:val="24"/>
        </w:rPr>
        <w:t>E</w:t>
      </w:r>
      <w:r w:rsidR="00D91BAB" w:rsidRPr="00747848">
        <w:rPr>
          <w:rFonts w:ascii="Arial" w:hAnsi="Arial" w:cs="Arial"/>
          <w:sz w:val="24"/>
          <w:szCs w:val="24"/>
        </w:rPr>
        <w:t xml:space="preserve">l Patólogo informa en </w:t>
      </w:r>
      <w:r w:rsidR="00352E55" w:rsidRPr="00747848">
        <w:rPr>
          <w:rFonts w:ascii="Arial" w:hAnsi="Arial" w:cs="Arial"/>
          <w:sz w:val="24"/>
          <w:szCs w:val="24"/>
        </w:rPr>
        <w:t xml:space="preserve">esófago: mucosa escamosa sin alteraciones patológicas. En </w:t>
      </w:r>
      <w:r w:rsidR="00D91BAB" w:rsidRPr="00747848">
        <w:rPr>
          <w:rFonts w:ascii="Arial" w:hAnsi="Arial" w:cs="Arial"/>
          <w:sz w:val="24"/>
          <w:szCs w:val="24"/>
        </w:rPr>
        <w:t>estómago: gastritis crónica leve, inactiva, sin metaplasia intestina</w:t>
      </w:r>
      <w:r w:rsidRPr="00747848">
        <w:rPr>
          <w:rFonts w:ascii="Arial" w:hAnsi="Arial" w:cs="Arial"/>
          <w:sz w:val="24"/>
          <w:szCs w:val="24"/>
        </w:rPr>
        <w:t>l</w:t>
      </w:r>
      <w:r w:rsidR="00D91BAB" w:rsidRPr="00747848">
        <w:rPr>
          <w:rFonts w:ascii="Arial" w:hAnsi="Arial" w:cs="Arial"/>
          <w:sz w:val="24"/>
          <w:szCs w:val="24"/>
        </w:rPr>
        <w:t xml:space="preserve">, no se observa </w:t>
      </w:r>
      <w:r w:rsidR="00D91BAB" w:rsidRPr="00747848">
        <w:rPr>
          <w:rFonts w:ascii="Arial" w:hAnsi="Arial" w:cs="Arial"/>
          <w:i/>
          <w:sz w:val="24"/>
          <w:szCs w:val="24"/>
        </w:rPr>
        <w:t>H. pylori</w:t>
      </w:r>
      <w:r w:rsidR="00352E55" w:rsidRPr="00747848">
        <w:rPr>
          <w:rFonts w:ascii="Arial" w:hAnsi="Arial" w:cs="Arial"/>
          <w:sz w:val="24"/>
          <w:szCs w:val="24"/>
        </w:rPr>
        <w:t xml:space="preserve">. En duodeno: atrofia vellositaria severa, hiperplasia criptal e infiltrado linfoplasmocítico denso compatibles con celiaquía grado B2 </w:t>
      </w:r>
      <w:proofErr w:type="spellStart"/>
      <w:r w:rsidR="00352E55" w:rsidRPr="00747848">
        <w:rPr>
          <w:rFonts w:ascii="Arial" w:hAnsi="Arial" w:cs="Arial"/>
          <w:sz w:val="24"/>
          <w:szCs w:val="24"/>
        </w:rPr>
        <w:t>Corazza</w:t>
      </w:r>
      <w:proofErr w:type="spellEnd"/>
      <w:r w:rsidR="00352E55" w:rsidRPr="0074784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352E55" w:rsidRPr="00747848">
        <w:rPr>
          <w:rFonts w:ascii="Arial" w:hAnsi="Arial" w:cs="Arial"/>
          <w:sz w:val="24"/>
          <w:szCs w:val="24"/>
        </w:rPr>
        <w:t>Villanacci</w:t>
      </w:r>
      <w:proofErr w:type="spellEnd"/>
      <w:r w:rsidR="00352E55" w:rsidRPr="00747848">
        <w:rPr>
          <w:rFonts w:ascii="Arial" w:hAnsi="Arial" w:cs="Arial"/>
          <w:sz w:val="24"/>
          <w:szCs w:val="24"/>
        </w:rPr>
        <w:t xml:space="preserve"> ó 3B de </w:t>
      </w:r>
      <w:proofErr w:type="spellStart"/>
      <w:r w:rsidR="00352E55" w:rsidRPr="00747848">
        <w:rPr>
          <w:rFonts w:ascii="Arial" w:hAnsi="Arial" w:cs="Arial"/>
          <w:sz w:val="24"/>
          <w:szCs w:val="24"/>
        </w:rPr>
        <w:t>Marsh</w:t>
      </w:r>
      <w:proofErr w:type="spellEnd"/>
      <w:r w:rsidR="00E246CE" w:rsidRPr="00747848">
        <w:rPr>
          <w:rFonts w:ascii="Arial" w:hAnsi="Arial" w:cs="Arial"/>
          <w:sz w:val="24"/>
          <w:szCs w:val="24"/>
        </w:rPr>
        <w:t xml:space="preserve"> (fig.</w:t>
      </w:r>
      <w:r w:rsidR="00D91BAB" w:rsidRPr="00747848">
        <w:rPr>
          <w:rFonts w:ascii="Arial" w:hAnsi="Arial" w:cs="Arial"/>
          <w:sz w:val="24"/>
          <w:szCs w:val="24"/>
        </w:rPr>
        <w:t xml:space="preserve"> 2</w:t>
      </w:r>
      <w:r w:rsidR="00D01778" w:rsidRPr="00747848">
        <w:rPr>
          <w:rFonts w:ascii="Arial" w:hAnsi="Arial" w:cs="Arial"/>
          <w:sz w:val="24"/>
          <w:szCs w:val="24"/>
        </w:rPr>
        <w:t xml:space="preserve"> y 3</w:t>
      </w:r>
      <w:r w:rsidR="00D91BAB" w:rsidRPr="00747848">
        <w:rPr>
          <w:rFonts w:ascii="Arial" w:hAnsi="Arial" w:cs="Arial"/>
          <w:sz w:val="24"/>
          <w:szCs w:val="24"/>
        </w:rPr>
        <w:t xml:space="preserve">). </w:t>
      </w:r>
    </w:p>
    <w:p w:rsidR="007A75FC" w:rsidRPr="00747848" w:rsidRDefault="007A75FC" w:rsidP="00752B20">
      <w:pPr>
        <w:tabs>
          <w:tab w:val="left" w:pos="141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75FC" w:rsidRDefault="007A75FC" w:rsidP="00752B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7848">
        <w:rPr>
          <w:rFonts w:ascii="Arial" w:hAnsi="Arial" w:cs="Arial"/>
          <w:sz w:val="24"/>
          <w:szCs w:val="24"/>
        </w:rPr>
        <w:t xml:space="preserve">Fig. 2. Biopsia de duodeno mostrando atrofia de vellosidades con hiperplasia criptal. Relación </w:t>
      </w:r>
      <w:proofErr w:type="spellStart"/>
      <w:r w:rsidRPr="00747848">
        <w:rPr>
          <w:rFonts w:ascii="Arial" w:hAnsi="Arial" w:cs="Arial"/>
          <w:sz w:val="24"/>
          <w:szCs w:val="24"/>
        </w:rPr>
        <w:t>vellosidad</w:t>
      </w:r>
      <w:proofErr w:type="gramStart"/>
      <w:r w:rsidRPr="00747848">
        <w:rPr>
          <w:rFonts w:ascii="Arial" w:hAnsi="Arial" w:cs="Arial"/>
          <w:sz w:val="24"/>
          <w:szCs w:val="24"/>
        </w:rPr>
        <w:t>:cripta</w:t>
      </w:r>
      <w:proofErr w:type="spellEnd"/>
      <w:proofErr w:type="gramEnd"/>
      <w:r w:rsidRPr="00747848">
        <w:rPr>
          <w:rFonts w:ascii="Arial" w:hAnsi="Arial" w:cs="Arial"/>
          <w:sz w:val="24"/>
          <w:szCs w:val="24"/>
        </w:rPr>
        <w:t xml:space="preserve"> &lt;1:1. HE 100x (cortesía Dr. Hugo </w:t>
      </w:r>
      <w:proofErr w:type="spellStart"/>
      <w:r w:rsidRPr="00747848">
        <w:rPr>
          <w:rFonts w:ascii="Arial" w:hAnsi="Arial" w:cs="Arial"/>
          <w:sz w:val="24"/>
          <w:szCs w:val="24"/>
        </w:rPr>
        <w:t>Boggino</w:t>
      </w:r>
      <w:proofErr w:type="spellEnd"/>
      <w:r w:rsidRPr="00747848">
        <w:rPr>
          <w:rFonts w:ascii="Arial" w:hAnsi="Arial" w:cs="Arial"/>
          <w:sz w:val="24"/>
          <w:szCs w:val="24"/>
        </w:rPr>
        <w:t>).</w:t>
      </w:r>
    </w:p>
    <w:p w:rsidR="00DD3D27" w:rsidRPr="00747848" w:rsidRDefault="00DD3D27" w:rsidP="00752B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A75FC" w:rsidRPr="00747848" w:rsidRDefault="007A75FC" w:rsidP="00752B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7848">
        <w:rPr>
          <w:rFonts w:ascii="Arial" w:hAnsi="Arial" w:cs="Arial"/>
          <w:sz w:val="24"/>
          <w:szCs w:val="24"/>
        </w:rPr>
        <w:t xml:space="preserve">Fig. 3. Biopsia de duodeno mostrando incremento de linfocitos intraepiteliales &gt;25 x 100 </w:t>
      </w:r>
      <w:proofErr w:type="spellStart"/>
      <w:r w:rsidRPr="00747848">
        <w:rPr>
          <w:rFonts w:ascii="Arial" w:hAnsi="Arial" w:cs="Arial"/>
          <w:sz w:val="24"/>
          <w:szCs w:val="24"/>
        </w:rPr>
        <w:t>enterocitos</w:t>
      </w:r>
      <w:proofErr w:type="spellEnd"/>
      <w:r w:rsidRPr="00747848">
        <w:rPr>
          <w:rFonts w:ascii="Arial" w:hAnsi="Arial" w:cs="Arial"/>
          <w:sz w:val="24"/>
          <w:szCs w:val="24"/>
        </w:rPr>
        <w:t xml:space="preserve">. HE 400x (cortesía Dr. Hugo </w:t>
      </w:r>
      <w:proofErr w:type="spellStart"/>
      <w:r w:rsidRPr="00747848">
        <w:rPr>
          <w:rFonts w:ascii="Arial" w:hAnsi="Arial" w:cs="Arial"/>
          <w:sz w:val="24"/>
          <w:szCs w:val="24"/>
        </w:rPr>
        <w:t>Boggino</w:t>
      </w:r>
      <w:proofErr w:type="spellEnd"/>
      <w:r w:rsidRPr="00747848">
        <w:rPr>
          <w:rFonts w:ascii="Arial" w:hAnsi="Arial" w:cs="Arial"/>
          <w:sz w:val="24"/>
          <w:szCs w:val="24"/>
        </w:rPr>
        <w:t>).</w:t>
      </w:r>
    </w:p>
    <w:p w:rsidR="007A75FC" w:rsidRDefault="007A75FC" w:rsidP="00752B20">
      <w:pPr>
        <w:tabs>
          <w:tab w:val="left" w:pos="141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D3D27" w:rsidRPr="00747848" w:rsidRDefault="00DD3D27" w:rsidP="00752B20">
      <w:pPr>
        <w:tabs>
          <w:tab w:val="left" w:pos="141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A187C" w:rsidRPr="00747848" w:rsidRDefault="00CF574C" w:rsidP="00752B20">
      <w:pPr>
        <w:tabs>
          <w:tab w:val="left" w:pos="141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7848">
        <w:rPr>
          <w:rFonts w:ascii="Arial" w:hAnsi="Arial" w:cs="Arial"/>
          <w:sz w:val="24"/>
          <w:szCs w:val="24"/>
        </w:rPr>
        <w:t>Se</w:t>
      </w:r>
      <w:r w:rsidR="00352E55" w:rsidRPr="00747848">
        <w:rPr>
          <w:rFonts w:ascii="Arial" w:hAnsi="Arial" w:cs="Arial"/>
          <w:sz w:val="24"/>
          <w:szCs w:val="24"/>
        </w:rPr>
        <w:t xml:space="preserve"> determinan los autoanticuerpos séricos </w:t>
      </w:r>
      <w:r w:rsidR="003052A0" w:rsidRPr="00747848">
        <w:rPr>
          <w:rFonts w:ascii="Arial" w:hAnsi="Arial" w:cs="Arial"/>
          <w:sz w:val="24"/>
          <w:szCs w:val="24"/>
        </w:rPr>
        <w:t>para EC</w:t>
      </w:r>
      <w:r w:rsidR="00352E55" w:rsidRPr="00747848">
        <w:rPr>
          <w:rFonts w:ascii="Arial" w:hAnsi="Arial" w:cs="Arial"/>
          <w:sz w:val="24"/>
          <w:szCs w:val="24"/>
        </w:rPr>
        <w:t>:</w:t>
      </w:r>
      <w:r w:rsidR="00C9297F" w:rsidRPr="00747848">
        <w:rPr>
          <w:rFonts w:ascii="Arial" w:hAnsi="Arial" w:cs="Arial"/>
          <w:sz w:val="24"/>
          <w:szCs w:val="24"/>
        </w:rPr>
        <w:t xml:space="preserve"> antitransgluta</w:t>
      </w:r>
      <w:r w:rsidR="008C2D25" w:rsidRPr="00747848">
        <w:rPr>
          <w:rFonts w:ascii="Arial" w:hAnsi="Arial" w:cs="Arial"/>
          <w:sz w:val="24"/>
          <w:szCs w:val="24"/>
        </w:rPr>
        <w:t>minasa tisular IgA 170 U (VN</w:t>
      </w:r>
      <w:r w:rsidR="007A008C" w:rsidRPr="00747848">
        <w:rPr>
          <w:rFonts w:ascii="Arial" w:hAnsi="Arial" w:cs="Arial"/>
          <w:sz w:val="24"/>
          <w:szCs w:val="24"/>
        </w:rPr>
        <w:t>:</w:t>
      </w:r>
      <w:r w:rsidR="008C2D25" w:rsidRPr="00747848">
        <w:rPr>
          <w:rFonts w:ascii="Arial" w:hAnsi="Arial" w:cs="Arial"/>
          <w:sz w:val="24"/>
          <w:szCs w:val="24"/>
        </w:rPr>
        <w:t xml:space="preserve"> &lt;20 U) e IgG 10 U/mL (VN</w:t>
      </w:r>
      <w:r w:rsidR="007A008C" w:rsidRPr="00747848">
        <w:rPr>
          <w:rFonts w:ascii="Arial" w:hAnsi="Arial" w:cs="Arial"/>
          <w:sz w:val="24"/>
          <w:szCs w:val="24"/>
        </w:rPr>
        <w:t>: &lt;</w:t>
      </w:r>
      <w:r w:rsidR="00C9297F" w:rsidRPr="00747848">
        <w:rPr>
          <w:rFonts w:ascii="Arial" w:hAnsi="Arial" w:cs="Arial"/>
          <w:sz w:val="24"/>
          <w:szCs w:val="24"/>
        </w:rPr>
        <w:t xml:space="preserve">6 U/mL), anticuerpo antiendomisio </w:t>
      </w:r>
      <w:r w:rsidR="00875AA3" w:rsidRPr="00747848">
        <w:rPr>
          <w:rFonts w:ascii="Arial" w:hAnsi="Arial" w:cs="Arial"/>
          <w:sz w:val="24"/>
          <w:szCs w:val="24"/>
        </w:rPr>
        <w:t>IgA e IgG negativos, anticuerpo</w:t>
      </w:r>
      <w:r w:rsidR="008C2D25" w:rsidRPr="00747848">
        <w:rPr>
          <w:rFonts w:ascii="Arial" w:hAnsi="Arial" w:cs="Arial"/>
          <w:sz w:val="24"/>
          <w:szCs w:val="24"/>
        </w:rPr>
        <w:t xml:space="preserve"> antigliadina IgA 170 U (VN</w:t>
      </w:r>
      <w:r w:rsidR="007A008C" w:rsidRPr="00747848">
        <w:rPr>
          <w:rFonts w:ascii="Arial" w:hAnsi="Arial" w:cs="Arial"/>
          <w:sz w:val="24"/>
          <w:szCs w:val="24"/>
        </w:rPr>
        <w:t>:</w:t>
      </w:r>
      <w:r w:rsidR="008C2D25" w:rsidRPr="00747848">
        <w:rPr>
          <w:rFonts w:ascii="Arial" w:hAnsi="Arial" w:cs="Arial"/>
          <w:sz w:val="24"/>
          <w:szCs w:val="24"/>
        </w:rPr>
        <w:t xml:space="preserve"> &lt;20 U) e IgG 117 U (VN</w:t>
      </w:r>
      <w:r w:rsidR="007A008C" w:rsidRPr="00747848">
        <w:rPr>
          <w:rFonts w:ascii="Arial" w:hAnsi="Arial" w:cs="Arial"/>
          <w:sz w:val="24"/>
          <w:szCs w:val="24"/>
        </w:rPr>
        <w:t>:</w:t>
      </w:r>
      <w:r w:rsidR="00C9297F" w:rsidRPr="00747848">
        <w:rPr>
          <w:rFonts w:ascii="Arial" w:hAnsi="Arial" w:cs="Arial"/>
          <w:sz w:val="24"/>
          <w:szCs w:val="24"/>
        </w:rPr>
        <w:t xml:space="preserve"> &lt;20 U)</w:t>
      </w:r>
      <w:r w:rsidRPr="00747848">
        <w:rPr>
          <w:rFonts w:ascii="Arial" w:hAnsi="Arial" w:cs="Arial"/>
          <w:sz w:val="24"/>
          <w:szCs w:val="24"/>
        </w:rPr>
        <w:t>.</w:t>
      </w:r>
      <w:r w:rsidR="00C9297F" w:rsidRPr="00747848">
        <w:rPr>
          <w:rFonts w:ascii="Arial" w:hAnsi="Arial" w:cs="Arial"/>
          <w:sz w:val="24"/>
          <w:szCs w:val="24"/>
        </w:rPr>
        <w:t xml:space="preserve"> </w:t>
      </w:r>
      <w:r w:rsidRPr="00747848">
        <w:rPr>
          <w:rFonts w:ascii="Arial" w:hAnsi="Arial" w:cs="Arial"/>
          <w:sz w:val="24"/>
          <w:szCs w:val="24"/>
        </w:rPr>
        <w:t>No se detectaron anticuerpos antitiroideos.</w:t>
      </w:r>
    </w:p>
    <w:p w:rsidR="00352E55" w:rsidRPr="00747848" w:rsidRDefault="00352E55" w:rsidP="00752B20">
      <w:pPr>
        <w:tabs>
          <w:tab w:val="left" w:pos="141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7848">
        <w:rPr>
          <w:rFonts w:ascii="Arial" w:hAnsi="Arial" w:cs="Arial"/>
          <w:sz w:val="24"/>
          <w:szCs w:val="24"/>
        </w:rPr>
        <w:t>La paciente inicia tratamiento con omepra</w:t>
      </w:r>
      <w:r w:rsidR="00875AA3" w:rsidRPr="00747848">
        <w:rPr>
          <w:rFonts w:ascii="Arial" w:hAnsi="Arial" w:cs="Arial"/>
          <w:sz w:val="24"/>
          <w:szCs w:val="24"/>
        </w:rPr>
        <w:t>zol, gastroquinéticos y dieta si</w:t>
      </w:r>
      <w:r w:rsidRPr="00747848">
        <w:rPr>
          <w:rFonts w:ascii="Arial" w:hAnsi="Arial" w:cs="Arial"/>
          <w:sz w:val="24"/>
          <w:szCs w:val="24"/>
        </w:rPr>
        <w:t>n gluten, mejorando la disfagia en las semanas siguientes. Ante la pre</w:t>
      </w:r>
      <w:r w:rsidR="00875AA3" w:rsidRPr="00747848">
        <w:rPr>
          <w:rFonts w:ascii="Arial" w:hAnsi="Arial" w:cs="Arial"/>
          <w:sz w:val="24"/>
          <w:szCs w:val="24"/>
        </w:rPr>
        <w:t>sencia de meteorismo relacionado</w:t>
      </w:r>
      <w:r w:rsidRPr="00747848">
        <w:rPr>
          <w:rFonts w:ascii="Arial" w:hAnsi="Arial" w:cs="Arial"/>
          <w:sz w:val="24"/>
          <w:szCs w:val="24"/>
        </w:rPr>
        <w:t xml:space="preserve"> a ingestión de l</w:t>
      </w:r>
      <w:r w:rsidR="00875AA3" w:rsidRPr="00747848">
        <w:rPr>
          <w:rFonts w:ascii="Arial" w:hAnsi="Arial" w:cs="Arial"/>
          <w:sz w:val="24"/>
          <w:szCs w:val="24"/>
        </w:rPr>
        <w:t>ácteos, se suspenden los mismos</w:t>
      </w:r>
      <w:r w:rsidRPr="00747848">
        <w:rPr>
          <w:rFonts w:ascii="Arial" w:hAnsi="Arial" w:cs="Arial"/>
          <w:sz w:val="24"/>
          <w:szCs w:val="24"/>
        </w:rPr>
        <w:t xml:space="preserve"> y los sín</w:t>
      </w:r>
      <w:r w:rsidR="00184B20" w:rsidRPr="00747848">
        <w:rPr>
          <w:rFonts w:ascii="Arial" w:hAnsi="Arial" w:cs="Arial"/>
          <w:sz w:val="24"/>
          <w:szCs w:val="24"/>
        </w:rPr>
        <w:t>tomas desaparecen. No se realizaron</w:t>
      </w:r>
      <w:r w:rsidRPr="00747848">
        <w:rPr>
          <w:rFonts w:ascii="Arial" w:hAnsi="Arial" w:cs="Arial"/>
          <w:sz w:val="24"/>
          <w:szCs w:val="24"/>
        </w:rPr>
        <w:t xml:space="preserve"> </w:t>
      </w:r>
      <w:r w:rsidR="00184B20" w:rsidRPr="00747848">
        <w:rPr>
          <w:rFonts w:ascii="Arial" w:hAnsi="Arial" w:cs="Arial"/>
          <w:sz w:val="24"/>
          <w:szCs w:val="24"/>
        </w:rPr>
        <w:t xml:space="preserve">otras </w:t>
      </w:r>
      <w:r w:rsidRPr="00747848">
        <w:rPr>
          <w:rFonts w:ascii="Arial" w:hAnsi="Arial" w:cs="Arial"/>
          <w:sz w:val="24"/>
          <w:szCs w:val="24"/>
        </w:rPr>
        <w:t>prueba</w:t>
      </w:r>
      <w:r w:rsidR="00184B20" w:rsidRPr="00747848">
        <w:rPr>
          <w:rFonts w:ascii="Arial" w:hAnsi="Arial" w:cs="Arial"/>
          <w:sz w:val="24"/>
          <w:szCs w:val="24"/>
        </w:rPr>
        <w:t xml:space="preserve">s para diagnosticar intolerancia a la lactosa. A </w:t>
      </w:r>
      <w:r w:rsidR="00875AA3" w:rsidRPr="00747848">
        <w:rPr>
          <w:rFonts w:ascii="Arial" w:hAnsi="Arial" w:cs="Arial"/>
          <w:sz w:val="24"/>
          <w:szCs w:val="24"/>
        </w:rPr>
        <w:t xml:space="preserve">los </w:t>
      </w:r>
      <w:r w:rsidR="00184B20" w:rsidRPr="00747848">
        <w:rPr>
          <w:rFonts w:ascii="Arial" w:hAnsi="Arial" w:cs="Arial"/>
          <w:sz w:val="24"/>
          <w:szCs w:val="24"/>
        </w:rPr>
        <w:t>dos meses de iniciada la dieta sin gluten la paciente redujo 1 kg de peso y refirió sentirse mejor.</w:t>
      </w:r>
    </w:p>
    <w:p w:rsidR="00CF574C" w:rsidRPr="00747848" w:rsidRDefault="00CF574C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4EDF" w:rsidRPr="00747848" w:rsidRDefault="000A768F" w:rsidP="004F0EA4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768F">
        <w:rPr>
          <w:rFonts w:ascii="Arial" w:hAnsi="Arial" w:cs="Arial"/>
          <w:b/>
          <w:sz w:val="24"/>
          <w:szCs w:val="24"/>
        </w:rPr>
        <w:t>Discusión</w:t>
      </w:r>
      <w:r w:rsidR="004F0EA4">
        <w:rPr>
          <w:rFonts w:ascii="Arial" w:hAnsi="Arial" w:cs="Arial"/>
          <w:b/>
          <w:sz w:val="24"/>
          <w:szCs w:val="24"/>
        </w:rPr>
        <w:t>:</w:t>
      </w:r>
    </w:p>
    <w:p w:rsidR="00050972" w:rsidRPr="00747848" w:rsidRDefault="00050972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4EDF" w:rsidRPr="00747848" w:rsidRDefault="002C4EDF" w:rsidP="00752B20">
      <w:pPr>
        <w:tabs>
          <w:tab w:val="left" w:pos="141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7848">
        <w:rPr>
          <w:rFonts w:ascii="Arial" w:hAnsi="Arial" w:cs="Arial"/>
          <w:sz w:val="24"/>
          <w:szCs w:val="24"/>
        </w:rPr>
        <w:t>La paciente de este caso nunca presentó</w:t>
      </w:r>
      <w:r w:rsidR="0077259C" w:rsidRPr="00747848">
        <w:rPr>
          <w:rFonts w:ascii="Arial" w:hAnsi="Arial" w:cs="Arial"/>
          <w:sz w:val="24"/>
          <w:szCs w:val="24"/>
        </w:rPr>
        <w:t xml:space="preserve"> síntomas digestivos</w:t>
      </w:r>
      <w:r w:rsidRPr="00747848">
        <w:rPr>
          <w:rFonts w:ascii="Arial" w:hAnsi="Arial" w:cs="Arial"/>
          <w:sz w:val="24"/>
          <w:szCs w:val="24"/>
        </w:rPr>
        <w:t xml:space="preserve">. </w:t>
      </w:r>
      <w:r w:rsidR="0077259C" w:rsidRPr="00747848">
        <w:rPr>
          <w:rFonts w:ascii="Arial" w:hAnsi="Arial" w:cs="Arial"/>
          <w:sz w:val="24"/>
          <w:szCs w:val="24"/>
        </w:rPr>
        <w:t>Su intolerancia a la lactosa se manifestó recién en la consulta actual</w:t>
      </w:r>
      <w:r w:rsidR="00491629" w:rsidRPr="00747848">
        <w:rPr>
          <w:rFonts w:ascii="Arial" w:hAnsi="Arial" w:cs="Arial"/>
          <w:sz w:val="24"/>
          <w:szCs w:val="24"/>
        </w:rPr>
        <w:t xml:space="preserve"> </w:t>
      </w:r>
      <w:r w:rsidR="00491629" w:rsidRPr="00C32AA8">
        <w:rPr>
          <w:rFonts w:ascii="Arial" w:hAnsi="Arial" w:cs="Arial"/>
          <w:sz w:val="24"/>
          <w:szCs w:val="24"/>
          <w:vertAlign w:val="superscript"/>
        </w:rPr>
        <w:t>(3)</w:t>
      </w:r>
      <w:r w:rsidR="00491629" w:rsidRPr="00747848">
        <w:rPr>
          <w:rFonts w:ascii="Arial" w:hAnsi="Arial" w:cs="Arial"/>
          <w:sz w:val="24"/>
          <w:szCs w:val="24"/>
        </w:rPr>
        <w:t>.</w:t>
      </w:r>
      <w:r w:rsidR="0077259C" w:rsidRPr="00747848">
        <w:rPr>
          <w:rFonts w:ascii="Arial" w:hAnsi="Arial" w:cs="Arial"/>
          <w:sz w:val="24"/>
          <w:szCs w:val="24"/>
        </w:rPr>
        <w:t xml:space="preserve"> De ahí que </w:t>
      </w:r>
      <w:r w:rsidR="00647AB6" w:rsidRPr="00747848">
        <w:rPr>
          <w:rFonts w:ascii="Arial" w:hAnsi="Arial" w:cs="Arial"/>
          <w:sz w:val="24"/>
          <w:szCs w:val="24"/>
        </w:rPr>
        <w:t>este caso puede</w:t>
      </w:r>
      <w:r w:rsidR="0077259C" w:rsidRPr="00747848">
        <w:rPr>
          <w:rFonts w:ascii="Arial" w:hAnsi="Arial" w:cs="Arial"/>
          <w:sz w:val="24"/>
          <w:szCs w:val="24"/>
        </w:rPr>
        <w:t xml:space="preserve"> catalogarse como una EC silente.</w:t>
      </w:r>
    </w:p>
    <w:p w:rsidR="0089545F" w:rsidRPr="00747848" w:rsidRDefault="0089545F" w:rsidP="00752B20">
      <w:pPr>
        <w:tabs>
          <w:tab w:val="left" w:pos="141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7848">
        <w:rPr>
          <w:rFonts w:ascii="Arial" w:hAnsi="Arial" w:cs="Arial"/>
          <w:sz w:val="24"/>
          <w:szCs w:val="24"/>
        </w:rPr>
        <w:t>La frecuencia de obesidad en niños al momento del diagnóstico de EC se report</w:t>
      </w:r>
      <w:r w:rsidR="00690C78" w:rsidRPr="00747848">
        <w:rPr>
          <w:rFonts w:ascii="Arial" w:hAnsi="Arial" w:cs="Arial"/>
          <w:sz w:val="24"/>
          <w:szCs w:val="24"/>
        </w:rPr>
        <w:t>a entre 0,7</w:t>
      </w:r>
      <w:r w:rsidRPr="00747848">
        <w:rPr>
          <w:rFonts w:ascii="Arial" w:hAnsi="Arial" w:cs="Arial"/>
          <w:sz w:val="24"/>
          <w:szCs w:val="24"/>
        </w:rPr>
        <w:t xml:space="preserve"> y 6%</w:t>
      </w:r>
      <w:r w:rsidR="00491629" w:rsidRPr="00747848">
        <w:rPr>
          <w:rFonts w:ascii="Arial" w:hAnsi="Arial" w:cs="Arial"/>
          <w:sz w:val="24"/>
          <w:szCs w:val="24"/>
        </w:rPr>
        <w:t xml:space="preserve"> </w:t>
      </w:r>
      <w:r w:rsidR="00491629" w:rsidRPr="00C32AA8">
        <w:rPr>
          <w:rFonts w:ascii="Arial" w:hAnsi="Arial" w:cs="Arial"/>
          <w:sz w:val="24"/>
          <w:szCs w:val="24"/>
          <w:vertAlign w:val="superscript"/>
        </w:rPr>
        <w:t>(4-6)</w:t>
      </w:r>
      <w:r w:rsidR="00491629" w:rsidRPr="00747848">
        <w:rPr>
          <w:rFonts w:ascii="Arial" w:hAnsi="Arial" w:cs="Arial"/>
          <w:sz w:val="24"/>
          <w:szCs w:val="24"/>
        </w:rPr>
        <w:t>.</w:t>
      </w:r>
      <w:r w:rsidR="00FF6CF6" w:rsidRPr="00747848">
        <w:rPr>
          <w:rFonts w:ascii="Arial" w:hAnsi="Arial" w:cs="Arial"/>
          <w:sz w:val="24"/>
          <w:szCs w:val="24"/>
        </w:rPr>
        <w:t xml:space="preserve"> En adu</w:t>
      </w:r>
      <w:r w:rsidR="00A86BF0" w:rsidRPr="00747848">
        <w:rPr>
          <w:rFonts w:ascii="Arial" w:hAnsi="Arial" w:cs="Arial"/>
          <w:sz w:val="24"/>
          <w:szCs w:val="24"/>
        </w:rPr>
        <w:t xml:space="preserve">ltos se ha descrito obesidad entre 3 y </w:t>
      </w:r>
      <w:r w:rsidR="00FF6CF6" w:rsidRPr="00747848">
        <w:rPr>
          <w:rFonts w:ascii="Arial" w:hAnsi="Arial" w:cs="Arial"/>
          <w:sz w:val="24"/>
          <w:szCs w:val="24"/>
        </w:rPr>
        <w:t>13% de los celiacos</w:t>
      </w:r>
      <w:r w:rsidR="00692DAA" w:rsidRPr="00747848">
        <w:rPr>
          <w:rFonts w:ascii="Arial" w:hAnsi="Arial" w:cs="Arial"/>
          <w:sz w:val="24"/>
          <w:szCs w:val="24"/>
        </w:rPr>
        <w:t>, predominando en las mujeres</w:t>
      </w:r>
      <w:r w:rsidR="00491629" w:rsidRPr="0074784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91629" w:rsidRPr="00C32AA8">
        <w:rPr>
          <w:rFonts w:ascii="Arial" w:hAnsi="Arial" w:cs="Arial"/>
          <w:sz w:val="24"/>
          <w:szCs w:val="24"/>
          <w:vertAlign w:val="superscript"/>
        </w:rPr>
        <w:t>(6-9)</w:t>
      </w:r>
      <w:r w:rsidR="00491629" w:rsidRPr="00747848">
        <w:rPr>
          <w:rFonts w:ascii="Arial" w:hAnsi="Arial" w:cs="Arial"/>
          <w:sz w:val="24"/>
          <w:szCs w:val="24"/>
        </w:rPr>
        <w:t>.</w:t>
      </w:r>
      <w:r w:rsidR="005626D2" w:rsidRPr="00747848">
        <w:rPr>
          <w:rFonts w:ascii="Arial" w:hAnsi="Arial" w:cs="Arial"/>
          <w:sz w:val="24"/>
          <w:szCs w:val="24"/>
        </w:rPr>
        <w:t xml:space="preserve"> </w:t>
      </w:r>
      <w:r w:rsidR="006E5159" w:rsidRPr="00747848">
        <w:rPr>
          <w:rFonts w:ascii="Arial" w:hAnsi="Arial" w:cs="Arial"/>
          <w:sz w:val="24"/>
          <w:szCs w:val="24"/>
        </w:rPr>
        <w:t>Esta prevalencia se encuentra en aumento, posiblemente por el incremento de la obesidad a nivel mundial</w:t>
      </w:r>
      <w:r w:rsidR="00FE5C6C" w:rsidRPr="00747848">
        <w:rPr>
          <w:rFonts w:ascii="Arial" w:hAnsi="Arial" w:cs="Arial"/>
          <w:sz w:val="24"/>
          <w:szCs w:val="24"/>
        </w:rPr>
        <w:t>. Se requieren estudios para demostrar la asociación entre EC y obesidad, ambos estados inflamatorios crónicos</w:t>
      </w:r>
      <w:r w:rsidR="00491629" w:rsidRPr="00747848">
        <w:rPr>
          <w:rFonts w:ascii="Arial" w:hAnsi="Arial" w:cs="Arial"/>
          <w:sz w:val="24"/>
          <w:szCs w:val="24"/>
        </w:rPr>
        <w:t xml:space="preserve"> </w:t>
      </w:r>
      <w:r w:rsidR="00491629" w:rsidRPr="00C32AA8">
        <w:rPr>
          <w:rFonts w:ascii="Arial" w:hAnsi="Arial" w:cs="Arial"/>
          <w:sz w:val="24"/>
          <w:szCs w:val="24"/>
          <w:vertAlign w:val="superscript"/>
        </w:rPr>
        <w:t>(10)</w:t>
      </w:r>
      <w:r w:rsidR="00491629" w:rsidRPr="00747848">
        <w:rPr>
          <w:rFonts w:ascii="Arial" w:hAnsi="Arial" w:cs="Arial"/>
          <w:sz w:val="24"/>
          <w:szCs w:val="24"/>
        </w:rPr>
        <w:t>.</w:t>
      </w:r>
      <w:r w:rsidR="00BA6F83" w:rsidRPr="00747848">
        <w:rPr>
          <w:rFonts w:ascii="Arial" w:hAnsi="Arial" w:cs="Arial"/>
          <w:sz w:val="24"/>
          <w:szCs w:val="24"/>
        </w:rPr>
        <w:t xml:space="preserve"> E</w:t>
      </w:r>
      <w:r w:rsidR="00875AA3" w:rsidRPr="00747848">
        <w:rPr>
          <w:rFonts w:ascii="Arial" w:hAnsi="Arial" w:cs="Arial"/>
          <w:sz w:val="24"/>
          <w:szCs w:val="24"/>
        </w:rPr>
        <w:t>n una investigación</w:t>
      </w:r>
      <w:r w:rsidR="003526A9" w:rsidRPr="00747848">
        <w:rPr>
          <w:rFonts w:ascii="Arial" w:hAnsi="Arial" w:cs="Arial"/>
          <w:sz w:val="24"/>
          <w:szCs w:val="24"/>
        </w:rPr>
        <w:t xml:space="preserve"> iraní, l</w:t>
      </w:r>
      <w:r w:rsidR="00F42ECD" w:rsidRPr="00747848">
        <w:rPr>
          <w:rFonts w:ascii="Arial" w:hAnsi="Arial" w:cs="Arial"/>
          <w:sz w:val="24"/>
          <w:szCs w:val="24"/>
        </w:rPr>
        <w:t>a EC se halló en 2,2% de adultos en esteatosi</w:t>
      </w:r>
      <w:r w:rsidR="009125B7" w:rsidRPr="00747848">
        <w:rPr>
          <w:rFonts w:ascii="Arial" w:hAnsi="Arial" w:cs="Arial"/>
          <w:sz w:val="24"/>
          <w:szCs w:val="24"/>
        </w:rPr>
        <w:t>s hepática no alcohólica</w:t>
      </w:r>
      <w:r w:rsidR="003526A9" w:rsidRPr="00747848">
        <w:rPr>
          <w:rFonts w:ascii="Arial" w:hAnsi="Arial" w:cs="Arial"/>
          <w:sz w:val="24"/>
          <w:szCs w:val="24"/>
        </w:rPr>
        <w:t>, aunque ninguno era obeso</w:t>
      </w:r>
      <w:r w:rsidR="00F42ECD" w:rsidRPr="00747848">
        <w:rPr>
          <w:rFonts w:ascii="Arial" w:hAnsi="Arial" w:cs="Arial"/>
          <w:sz w:val="24"/>
          <w:szCs w:val="24"/>
        </w:rPr>
        <w:t xml:space="preserve">. </w:t>
      </w:r>
      <w:r w:rsidR="00875AA3" w:rsidRPr="00747848">
        <w:rPr>
          <w:rFonts w:ascii="Arial" w:hAnsi="Arial" w:cs="Arial"/>
          <w:sz w:val="24"/>
          <w:szCs w:val="24"/>
        </w:rPr>
        <w:t>Esta paciente tampoco presentaba criterios ecográficos de esteatosis hepática</w:t>
      </w:r>
      <w:r w:rsidR="00491629" w:rsidRPr="00747848">
        <w:rPr>
          <w:rFonts w:ascii="Arial" w:hAnsi="Arial" w:cs="Arial"/>
          <w:sz w:val="24"/>
          <w:szCs w:val="24"/>
        </w:rPr>
        <w:t xml:space="preserve"> </w:t>
      </w:r>
      <w:r w:rsidR="00491629" w:rsidRPr="00C32AA8">
        <w:rPr>
          <w:rFonts w:ascii="Arial" w:hAnsi="Arial" w:cs="Arial"/>
          <w:sz w:val="24"/>
          <w:szCs w:val="24"/>
          <w:vertAlign w:val="superscript"/>
        </w:rPr>
        <w:t>(11)</w:t>
      </w:r>
      <w:r w:rsidR="00491629" w:rsidRPr="00747848">
        <w:rPr>
          <w:rFonts w:ascii="Arial" w:hAnsi="Arial" w:cs="Arial"/>
          <w:sz w:val="24"/>
          <w:szCs w:val="24"/>
        </w:rPr>
        <w:t>.</w:t>
      </w:r>
    </w:p>
    <w:p w:rsidR="000D4520" w:rsidRPr="001557EA" w:rsidRDefault="0089545F" w:rsidP="00752B20">
      <w:pPr>
        <w:tabs>
          <w:tab w:val="left" w:pos="141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7848">
        <w:rPr>
          <w:rFonts w:ascii="Arial" w:hAnsi="Arial" w:cs="Arial"/>
          <w:sz w:val="24"/>
          <w:szCs w:val="24"/>
        </w:rPr>
        <w:t>Es</w:t>
      </w:r>
      <w:r w:rsidR="00875AA3" w:rsidRPr="00747848">
        <w:rPr>
          <w:rFonts w:ascii="Arial" w:hAnsi="Arial" w:cs="Arial"/>
          <w:sz w:val="24"/>
          <w:szCs w:val="24"/>
        </w:rPr>
        <w:t xml:space="preserve"> característica</w:t>
      </w:r>
      <w:r w:rsidRPr="00747848">
        <w:rPr>
          <w:rFonts w:ascii="Arial" w:hAnsi="Arial" w:cs="Arial"/>
          <w:sz w:val="24"/>
          <w:szCs w:val="24"/>
        </w:rPr>
        <w:t xml:space="preserve"> la escasa</w:t>
      </w:r>
      <w:r w:rsidR="00875AA3" w:rsidRPr="00747848">
        <w:rPr>
          <w:rFonts w:ascii="Arial" w:hAnsi="Arial" w:cs="Arial"/>
          <w:sz w:val="24"/>
          <w:szCs w:val="24"/>
        </w:rPr>
        <w:t xml:space="preserve"> correlación entre la severidad de la atrofia duodenal y la presencia</w:t>
      </w:r>
      <w:r w:rsidR="0077259C" w:rsidRPr="00747848">
        <w:rPr>
          <w:rFonts w:ascii="Arial" w:hAnsi="Arial" w:cs="Arial"/>
          <w:sz w:val="24"/>
          <w:szCs w:val="24"/>
        </w:rPr>
        <w:t xml:space="preserve"> de </w:t>
      </w:r>
      <w:r w:rsidRPr="00747848">
        <w:rPr>
          <w:rFonts w:ascii="Arial" w:hAnsi="Arial" w:cs="Arial"/>
          <w:sz w:val="24"/>
          <w:szCs w:val="24"/>
        </w:rPr>
        <w:t xml:space="preserve">síntomas de </w:t>
      </w:r>
      <w:r w:rsidR="0077259C" w:rsidRPr="00747848">
        <w:rPr>
          <w:rFonts w:ascii="Arial" w:hAnsi="Arial" w:cs="Arial"/>
          <w:sz w:val="24"/>
          <w:szCs w:val="24"/>
        </w:rPr>
        <w:t>malabsorción intestinal</w:t>
      </w:r>
      <w:r w:rsidRPr="00747848">
        <w:rPr>
          <w:rFonts w:ascii="Arial" w:hAnsi="Arial" w:cs="Arial"/>
          <w:sz w:val="24"/>
          <w:szCs w:val="24"/>
        </w:rPr>
        <w:t xml:space="preserve"> como la observada en esta mujer</w:t>
      </w:r>
      <w:r w:rsidR="0077259C" w:rsidRPr="00747848">
        <w:rPr>
          <w:rFonts w:ascii="Arial" w:hAnsi="Arial" w:cs="Arial"/>
          <w:sz w:val="24"/>
          <w:szCs w:val="24"/>
        </w:rPr>
        <w:t>.</w:t>
      </w:r>
      <w:r w:rsidR="00F05500" w:rsidRPr="00747848">
        <w:rPr>
          <w:rFonts w:ascii="Arial" w:hAnsi="Arial" w:cs="Arial"/>
          <w:sz w:val="24"/>
          <w:szCs w:val="24"/>
        </w:rPr>
        <w:t xml:space="preserve"> La razón para que</w:t>
      </w:r>
      <w:r w:rsidR="00875AA3" w:rsidRPr="00747848">
        <w:rPr>
          <w:rFonts w:ascii="Arial" w:hAnsi="Arial" w:cs="Arial"/>
          <w:sz w:val="24"/>
          <w:szCs w:val="24"/>
        </w:rPr>
        <w:t xml:space="preserve"> ocurra este fenómeno</w:t>
      </w:r>
      <w:r w:rsidR="00F05500" w:rsidRPr="00747848">
        <w:rPr>
          <w:rFonts w:ascii="Arial" w:hAnsi="Arial" w:cs="Arial"/>
          <w:sz w:val="24"/>
          <w:szCs w:val="24"/>
        </w:rPr>
        <w:t xml:space="preserve"> es que la afectación intestinal es en parches</w:t>
      </w:r>
      <w:r w:rsidR="006A31F5" w:rsidRPr="00747848">
        <w:rPr>
          <w:rFonts w:ascii="Arial" w:hAnsi="Arial" w:cs="Arial"/>
          <w:sz w:val="24"/>
          <w:szCs w:val="24"/>
        </w:rPr>
        <w:t xml:space="preserve"> y que puede haber una absorción</w:t>
      </w:r>
      <w:r w:rsidR="00F05500" w:rsidRPr="00747848">
        <w:rPr>
          <w:rFonts w:ascii="Arial" w:hAnsi="Arial" w:cs="Arial"/>
          <w:sz w:val="24"/>
          <w:szCs w:val="24"/>
        </w:rPr>
        <w:t xml:space="preserve"> distal</w:t>
      </w:r>
      <w:r w:rsidR="006A31F5" w:rsidRPr="00747848">
        <w:rPr>
          <w:rFonts w:ascii="Arial" w:hAnsi="Arial" w:cs="Arial"/>
          <w:sz w:val="24"/>
          <w:szCs w:val="24"/>
        </w:rPr>
        <w:t xml:space="preserve"> de nutrientes y </w:t>
      </w:r>
      <w:r w:rsidR="00163260" w:rsidRPr="00747848">
        <w:rPr>
          <w:rFonts w:ascii="Arial" w:hAnsi="Arial" w:cs="Arial"/>
          <w:sz w:val="24"/>
          <w:szCs w:val="24"/>
        </w:rPr>
        <w:t xml:space="preserve">grasas </w:t>
      </w:r>
      <w:r w:rsidR="006A31F5" w:rsidRPr="00747848">
        <w:rPr>
          <w:rFonts w:ascii="Arial" w:hAnsi="Arial" w:cs="Arial"/>
          <w:sz w:val="24"/>
          <w:szCs w:val="24"/>
        </w:rPr>
        <w:t xml:space="preserve">que </w:t>
      </w:r>
      <w:r w:rsidR="00163260" w:rsidRPr="00747848">
        <w:rPr>
          <w:rFonts w:ascii="Arial" w:hAnsi="Arial" w:cs="Arial"/>
          <w:sz w:val="24"/>
          <w:szCs w:val="24"/>
        </w:rPr>
        <w:t>se mantiene intacta</w:t>
      </w:r>
      <w:r w:rsidR="00491629" w:rsidRPr="00747848">
        <w:rPr>
          <w:rFonts w:ascii="Arial" w:hAnsi="Arial" w:cs="Arial"/>
          <w:sz w:val="24"/>
          <w:szCs w:val="24"/>
        </w:rPr>
        <w:t xml:space="preserve"> </w:t>
      </w:r>
      <w:r w:rsidR="00491629" w:rsidRPr="001557EA">
        <w:rPr>
          <w:rFonts w:ascii="Arial" w:hAnsi="Arial" w:cs="Arial"/>
          <w:sz w:val="24"/>
          <w:szCs w:val="24"/>
          <w:vertAlign w:val="superscript"/>
        </w:rPr>
        <w:t>(7)</w:t>
      </w:r>
      <w:r w:rsidR="00491629" w:rsidRPr="00747848">
        <w:rPr>
          <w:rFonts w:ascii="Arial" w:hAnsi="Arial" w:cs="Arial"/>
          <w:sz w:val="24"/>
          <w:szCs w:val="24"/>
        </w:rPr>
        <w:t>.</w:t>
      </w:r>
      <w:r w:rsidR="00444975" w:rsidRPr="0074784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163260" w:rsidRPr="00747848">
        <w:rPr>
          <w:rFonts w:ascii="Arial" w:hAnsi="Arial" w:cs="Arial"/>
          <w:sz w:val="24"/>
          <w:szCs w:val="24"/>
        </w:rPr>
        <w:t>Además existe una hipótesis “compensatoria” por la cual la atrofia duodenal</w:t>
      </w:r>
      <w:r w:rsidR="00F05500" w:rsidRPr="00747848">
        <w:rPr>
          <w:rFonts w:ascii="Arial" w:hAnsi="Arial" w:cs="Arial"/>
          <w:sz w:val="24"/>
          <w:szCs w:val="24"/>
        </w:rPr>
        <w:t xml:space="preserve"> que inicia en la niñez se compensa con una mayor longitud </w:t>
      </w:r>
      <w:r w:rsidR="00120D40" w:rsidRPr="00747848">
        <w:rPr>
          <w:rFonts w:ascii="Arial" w:hAnsi="Arial" w:cs="Arial"/>
          <w:sz w:val="24"/>
          <w:szCs w:val="24"/>
        </w:rPr>
        <w:t xml:space="preserve">y capacidad absortiva </w:t>
      </w:r>
      <w:r w:rsidR="00F05500" w:rsidRPr="00747848">
        <w:rPr>
          <w:rFonts w:ascii="Arial" w:hAnsi="Arial" w:cs="Arial"/>
          <w:sz w:val="24"/>
          <w:szCs w:val="24"/>
        </w:rPr>
        <w:t>del intestino delgado</w:t>
      </w:r>
      <w:r w:rsidRPr="00747848">
        <w:rPr>
          <w:rFonts w:ascii="Arial" w:hAnsi="Arial" w:cs="Arial"/>
          <w:sz w:val="24"/>
          <w:szCs w:val="24"/>
        </w:rPr>
        <w:t>. Esto concuerda con el hecho que en los adolescentes y adultos la forma clínica de presentación suele ser silente</w:t>
      </w:r>
      <w:r w:rsidR="00FE6792" w:rsidRPr="0074784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1557EA" w:rsidRPr="001557EA">
        <w:rPr>
          <w:rFonts w:ascii="Arial" w:hAnsi="Arial" w:cs="Arial"/>
          <w:sz w:val="24"/>
          <w:szCs w:val="24"/>
          <w:vertAlign w:val="superscript"/>
        </w:rPr>
        <w:t>(4,9)</w:t>
      </w:r>
      <w:r w:rsidR="001557EA">
        <w:rPr>
          <w:rFonts w:ascii="Arial" w:hAnsi="Arial" w:cs="Arial"/>
          <w:sz w:val="24"/>
          <w:szCs w:val="24"/>
        </w:rPr>
        <w:t>.</w:t>
      </w:r>
    </w:p>
    <w:p w:rsidR="00BF6DF8" w:rsidRPr="001557EA" w:rsidRDefault="00BF6DF8" w:rsidP="00752B20">
      <w:pPr>
        <w:tabs>
          <w:tab w:val="left" w:pos="141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7848">
        <w:rPr>
          <w:rFonts w:ascii="Arial" w:hAnsi="Arial" w:cs="Arial"/>
          <w:sz w:val="24"/>
          <w:szCs w:val="24"/>
        </w:rPr>
        <w:t>La presencia de a</w:t>
      </w:r>
      <w:r w:rsidR="002F3E3E" w:rsidRPr="00747848">
        <w:rPr>
          <w:rFonts w:ascii="Arial" w:hAnsi="Arial" w:cs="Arial"/>
          <w:sz w:val="24"/>
          <w:szCs w:val="24"/>
        </w:rPr>
        <w:t>lteraciones hepáticas</w:t>
      </w:r>
      <w:r w:rsidR="00AA79DE" w:rsidRPr="00747848">
        <w:rPr>
          <w:rFonts w:ascii="Arial" w:hAnsi="Arial" w:cs="Arial"/>
          <w:sz w:val="24"/>
          <w:szCs w:val="24"/>
        </w:rPr>
        <w:t xml:space="preserve"> </w:t>
      </w:r>
      <w:r w:rsidRPr="00747848">
        <w:rPr>
          <w:rFonts w:ascii="Arial" w:hAnsi="Arial" w:cs="Arial"/>
          <w:sz w:val="24"/>
          <w:szCs w:val="24"/>
        </w:rPr>
        <w:t xml:space="preserve">o </w:t>
      </w:r>
      <w:r w:rsidR="00D9393E" w:rsidRPr="00747848">
        <w:rPr>
          <w:rFonts w:ascii="Arial" w:hAnsi="Arial" w:cs="Arial"/>
          <w:sz w:val="24"/>
          <w:szCs w:val="24"/>
        </w:rPr>
        <w:t>tiroideas</w:t>
      </w:r>
      <w:r w:rsidR="007C5910" w:rsidRPr="00747848">
        <w:rPr>
          <w:rFonts w:ascii="Arial" w:hAnsi="Arial" w:cs="Arial"/>
          <w:sz w:val="24"/>
          <w:szCs w:val="24"/>
        </w:rPr>
        <w:t xml:space="preserve"> autoinmune</w:t>
      </w:r>
      <w:r w:rsidR="00D9393E" w:rsidRPr="00747848">
        <w:rPr>
          <w:rFonts w:ascii="Arial" w:hAnsi="Arial" w:cs="Arial"/>
          <w:sz w:val="24"/>
          <w:szCs w:val="24"/>
        </w:rPr>
        <w:t>s</w:t>
      </w:r>
      <w:r w:rsidRPr="00747848">
        <w:rPr>
          <w:rFonts w:ascii="Arial" w:hAnsi="Arial" w:cs="Arial"/>
          <w:sz w:val="24"/>
          <w:szCs w:val="24"/>
        </w:rPr>
        <w:t xml:space="preserve"> </w:t>
      </w:r>
      <w:r w:rsidR="001557EA" w:rsidRPr="00747848">
        <w:rPr>
          <w:rFonts w:ascii="Arial" w:hAnsi="Arial" w:cs="Arial"/>
          <w:sz w:val="24"/>
          <w:szCs w:val="24"/>
        </w:rPr>
        <w:t>puede</w:t>
      </w:r>
      <w:r w:rsidRPr="00747848">
        <w:rPr>
          <w:rFonts w:ascii="Arial" w:hAnsi="Arial" w:cs="Arial"/>
          <w:sz w:val="24"/>
          <w:szCs w:val="24"/>
        </w:rPr>
        <w:t xml:space="preserve"> inducir al dia</w:t>
      </w:r>
      <w:r w:rsidR="00FE1852" w:rsidRPr="00747848">
        <w:rPr>
          <w:rFonts w:ascii="Arial" w:hAnsi="Arial" w:cs="Arial"/>
          <w:sz w:val="24"/>
          <w:szCs w:val="24"/>
        </w:rPr>
        <w:t>gnóstico de una EC silente</w:t>
      </w:r>
      <w:r w:rsidR="00491629" w:rsidRPr="00747848">
        <w:rPr>
          <w:rFonts w:ascii="Arial" w:hAnsi="Arial" w:cs="Arial"/>
          <w:sz w:val="24"/>
          <w:szCs w:val="24"/>
        </w:rPr>
        <w:t xml:space="preserve"> </w:t>
      </w:r>
      <w:r w:rsidR="00491629" w:rsidRPr="001557EA">
        <w:rPr>
          <w:rFonts w:ascii="Arial" w:hAnsi="Arial" w:cs="Arial"/>
          <w:sz w:val="24"/>
          <w:szCs w:val="24"/>
          <w:vertAlign w:val="superscript"/>
        </w:rPr>
        <w:t>(1, 12)</w:t>
      </w:r>
      <w:r w:rsidR="001557EA">
        <w:rPr>
          <w:rFonts w:ascii="Arial" w:hAnsi="Arial" w:cs="Arial"/>
          <w:sz w:val="24"/>
          <w:szCs w:val="24"/>
        </w:rPr>
        <w:t>.</w:t>
      </w:r>
      <w:r w:rsidR="00FE1852" w:rsidRPr="00747848">
        <w:rPr>
          <w:rFonts w:ascii="Arial" w:hAnsi="Arial" w:cs="Arial"/>
          <w:sz w:val="24"/>
          <w:szCs w:val="24"/>
        </w:rPr>
        <w:t xml:space="preserve"> Así mismo, una anemia o pérdida inexplicable de peso son sugestivas de EC</w:t>
      </w:r>
      <w:r w:rsidR="00D9393E" w:rsidRPr="00747848">
        <w:rPr>
          <w:rFonts w:ascii="Arial" w:hAnsi="Arial" w:cs="Arial"/>
          <w:sz w:val="24"/>
          <w:szCs w:val="24"/>
        </w:rPr>
        <w:t xml:space="preserve"> pero l</w:t>
      </w:r>
      <w:r w:rsidRPr="00747848">
        <w:rPr>
          <w:rFonts w:ascii="Arial" w:hAnsi="Arial" w:cs="Arial"/>
          <w:sz w:val="24"/>
          <w:szCs w:val="24"/>
        </w:rPr>
        <w:t>a paciente no presentaba ninguna de estas anormalidades</w:t>
      </w:r>
      <w:r w:rsidR="00491629" w:rsidRPr="00747848">
        <w:rPr>
          <w:rFonts w:ascii="Arial" w:hAnsi="Arial" w:cs="Arial"/>
          <w:sz w:val="24"/>
          <w:szCs w:val="24"/>
        </w:rPr>
        <w:t xml:space="preserve"> </w:t>
      </w:r>
      <w:r w:rsidR="00491629" w:rsidRPr="001557EA">
        <w:rPr>
          <w:rFonts w:ascii="Arial" w:hAnsi="Arial" w:cs="Arial"/>
          <w:sz w:val="24"/>
          <w:szCs w:val="24"/>
          <w:vertAlign w:val="superscript"/>
        </w:rPr>
        <w:t>(</w:t>
      </w:r>
      <w:r w:rsidR="001557EA" w:rsidRPr="001557EA">
        <w:rPr>
          <w:rFonts w:ascii="Arial" w:hAnsi="Arial" w:cs="Arial"/>
          <w:sz w:val="24"/>
          <w:szCs w:val="24"/>
          <w:vertAlign w:val="superscript"/>
        </w:rPr>
        <w:t>4,</w:t>
      </w:r>
      <w:r w:rsidR="001557E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1557EA" w:rsidRPr="001557EA">
        <w:rPr>
          <w:rFonts w:ascii="Arial" w:hAnsi="Arial" w:cs="Arial"/>
          <w:sz w:val="24"/>
          <w:szCs w:val="24"/>
          <w:vertAlign w:val="superscript"/>
        </w:rPr>
        <w:t>12</w:t>
      </w:r>
      <w:r w:rsidR="00491629" w:rsidRPr="001557EA">
        <w:rPr>
          <w:rFonts w:ascii="Arial" w:hAnsi="Arial" w:cs="Arial"/>
          <w:sz w:val="24"/>
          <w:szCs w:val="24"/>
          <w:vertAlign w:val="superscript"/>
        </w:rPr>
        <w:t>)</w:t>
      </w:r>
      <w:r w:rsidR="001557EA">
        <w:rPr>
          <w:rFonts w:ascii="Arial" w:hAnsi="Arial" w:cs="Arial"/>
          <w:sz w:val="24"/>
          <w:szCs w:val="24"/>
        </w:rPr>
        <w:t>.</w:t>
      </w:r>
      <w:r w:rsidR="00F05500" w:rsidRPr="00747848">
        <w:rPr>
          <w:rFonts w:ascii="Arial" w:hAnsi="Arial" w:cs="Arial"/>
          <w:sz w:val="24"/>
          <w:szCs w:val="24"/>
        </w:rPr>
        <w:t xml:space="preserve"> </w:t>
      </w:r>
      <w:r w:rsidR="0083299A" w:rsidRPr="00747848">
        <w:rPr>
          <w:rFonts w:ascii="Arial" w:hAnsi="Arial" w:cs="Arial"/>
          <w:sz w:val="24"/>
          <w:szCs w:val="24"/>
        </w:rPr>
        <w:t xml:space="preserve">Tal </w:t>
      </w:r>
      <w:r w:rsidR="00D9393E" w:rsidRPr="00747848">
        <w:rPr>
          <w:rFonts w:ascii="Arial" w:hAnsi="Arial" w:cs="Arial"/>
          <w:sz w:val="24"/>
          <w:szCs w:val="24"/>
        </w:rPr>
        <w:t>vez su</w:t>
      </w:r>
      <w:r w:rsidR="0083299A" w:rsidRPr="00747848">
        <w:rPr>
          <w:rFonts w:ascii="Arial" w:hAnsi="Arial" w:cs="Arial"/>
          <w:sz w:val="24"/>
          <w:szCs w:val="24"/>
        </w:rPr>
        <w:t xml:space="preserve"> lipidograma normal sea un marcador indirecto de malabsorción intestinal</w:t>
      </w:r>
      <w:r w:rsidR="00491629" w:rsidRPr="00747848">
        <w:rPr>
          <w:rFonts w:ascii="Arial" w:hAnsi="Arial" w:cs="Arial"/>
          <w:sz w:val="24"/>
          <w:szCs w:val="24"/>
        </w:rPr>
        <w:t xml:space="preserve"> </w:t>
      </w:r>
      <w:r w:rsidR="00491629" w:rsidRPr="001557EA">
        <w:rPr>
          <w:rFonts w:ascii="Arial" w:hAnsi="Arial" w:cs="Arial"/>
          <w:sz w:val="24"/>
          <w:szCs w:val="24"/>
          <w:vertAlign w:val="superscript"/>
        </w:rPr>
        <w:t>(4)</w:t>
      </w:r>
      <w:r w:rsidR="001557EA">
        <w:rPr>
          <w:rFonts w:ascii="Arial" w:hAnsi="Arial" w:cs="Arial"/>
          <w:sz w:val="24"/>
          <w:szCs w:val="24"/>
        </w:rPr>
        <w:t>.</w:t>
      </w:r>
      <w:r w:rsidR="001E6F04" w:rsidRPr="001557EA">
        <w:rPr>
          <w:rFonts w:ascii="Arial" w:hAnsi="Arial" w:cs="Arial"/>
          <w:sz w:val="24"/>
          <w:szCs w:val="24"/>
        </w:rPr>
        <w:t xml:space="preserve"> </w:t>
      </w:r>
      <w:r w:rsidR="00494AA9" w:rsidRPr="00747848">
        <w:rPr>
          <w:rFonts w:ascii="Arial" w:hAnsi="Arial" w:cs="Arial"/>
          <w:sz w:val="24"/>
          <w:szCs w:val="24"/>
        </w:rPr>
        <w:t>La ausencia de anemia se puede correlacionar con su velocidad de eritrosedimentación normal (6 mm a 1° hora y 12 mm a 2° hora)</w:t>
      </w:r>
      <w:r w:rsidR="002863F1" w:rsidRPr="00747848">
        <w:rPr>
          <w:rFonts w:ascii="Arial" w:hAnsi="Arial" w:cs="Arial"/>
          <w:sz w:val="24"/>
          <w:szCs w:val="24"/>
        </w:rPr>
        <w:t xml:space="preserve"> y factor reumatoide negativo</w:t>
      </w:r>
      <w:r w:rsidR="00D9393E" w:rsidRPr="00747848">
        <w:rPr>
          <w:rFonts w:ascii="Arial" w:hAnsi="Arial" w:cs="Arial"/>
          <w:sz w:val="24"/>
          <w:szCs w:val="24"/>
        </w:rPr>
        <w:t xml:space="preserve"> pues s</w:t>
      </w:r>
      <w:r w:rsidR="00494AA9" w:rsidRPr="00747848">
        <w:rPr>
          <w:rFonts w:ascii="Arial" w:hAnsi="Arial" w:cs="Arial"/>
          <w:sz w:val="24"/>
          <w:szCs w:val="24"/>
        </w:rPr>
        <w:t>e ha postulado que entre las causas de anemi</w:t>
      </w:r>
      <w:r w:rsidR="00491629" w:rsidRPr="00747848">
        <w:rPr>
          <w:rFonts w:ascii="Arial" w:hAnsi="Arial" w:cs="Arial"/>
          <w:sz w:val="24"/>
          <w:szCs w:val="24"/>
        </w:rPr>
        <w:t xml:space="preserve">a en la EC se halla la etiología inflamatoria </w:t>
      </w:r>
      <w:r w:rsidR="00491629" w:rsidRPr="001557EA">
        <w:rPr>
          <w:rFonts w:ascii="Arial" w:hAnsi="Arial" w:cs="Arial"/>
          <w:sz w:val="24"/>
          <w:szCs w:val="24"/>
          <w:vertAlign w:val="superscript"/>
        </w:rPr>
        <w:t>(12)</w:t>
      </w:r>
      <w:r w:rsidR="001557EA">
        <w:rPr>
          <w:rFonts w:ascii="Arial" w:hAnsi="Arial" w:cs="Arial"/>
          <w:sz w:val="24"/>
          <w:szCs w:val="24"/>
        </w:rPr>
        <w:t>.</w:t>
      </w:r>
    </w:p>
    <w:p w:rsidR="0077259C" w:rsidRPr="001557EA" w:rsidRDefault="000D4520" w:rsidP="00752B20">
      <w:pPr>
        <w:tabs>
          <w:tab w:val="left" w:pos="141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7848">
        <w:rPr>
          <w:rFonts w:ascii="Arial" w:hAnsi="Arial" w:cs="Arial"/>
          <w:sz w:val="24"/>
          <w:szCs w:val="24"/>
        </w:rPr>
        <w:t>No se le realizó pruebas de funcionalidad intestinal ni dosaje del gen HLA-DQ pues el diagnóstico de EC estaba confirmado</w:t>
      </w:r>
      <w:r w:rsidR="00B200A0" w:rsidRPr="00747848">
        <w:rPr>
          <w:rFonts w:ascii="Arial" w:hAnsi="Arial" w:cs="Arial"/>
          <w:sz w:val="24"/>
          <w:szCs w:val="24"/>
        </w:rPr>
        <w:t xml:space="preserve"> con la </w:t>
      </w:r>
      <w:r w:rsidR="009C30B9" w:rsidRPr="00747848">
        <w:rPr>
          <w:rFonts w:ascii="Arial" w:hAnsi="Arial" w:cs="Arial"/>
          <w:sz w:val="24"/>
          <w:szCs w:val="24"/>
        </w:rPr>
        <w:t>histopatología</w:t>
      </w:r>
      <w:r w:rsidR="00B200A0" w:rsidRPr="00747848">
        <w:rPr>
          <w:rFonts w:ascii="Arial" w:hAnsi="Arial" w:cs="Arial"/>
          <w:sz w:val="24"/>
          <w:szCs w:val="24"/>
        </w:rPr>
        <w:t xml:space="preserve"> y serología, a pesar de ser una paciente totalmente asintomática</w:t>
      </w:r>
      <w:r w:rsidR="00D9393E" w:rsidRPr="00747848">
        <w:rPr>
          <w:rFonts w:ascii="Arial" w:hAnsi="Arial" w:cs="Arial"/>
          <w:sz w:val="24"/>
          <w:szCs w:val="24"/>
        </w:rPr>
        <w:t xml:space="preserve"> y de diagnóstico casual</w:t>
      </w:r>
      <w:r w:rsidR="001557EA">
        <w:rPr>
          <w:rFonts w:ascii="Arial" w:hAnsi="Arial" w:cs="Arial"/>
          <w:sz w:val="24"/>
          <w:szCs w:val="24"/>
        </w:rPr>
        <w:t xml:space="preserve"> </w:t>
      </w:r>
      <w:r w:rsidR="001557EA" w:rsidRPr="001557EA">
        <w:rPr>
          <w:rFonts w:ascii="Arial" w:hAnsi="Arial" w:cs="Arial"/>
          <w:sz w:val="24"/>
          <w:szCs w:val="24"/>
          <w:vertAlign w:val="superscript"/>
        </w:rPr>
        <w:t>(13</w:t>
      </w:r>
      <w:r w:rsidR="00B73A1A">
        <w:rPr>
          <w:rFonts w:ascii="Arial" w:hAnsi="Arial" w:cs="Arial"/>
          <w:sz w:val="24"/>
          <w:szCs w:val="24"/>
          <w:vertAlign w:val="superscript"/>
        </w:rPr>
        <w:t>, 14</w:t>
      </w:r>
      <w:r w:rsidR="001557EA" w:rsidRPr="001557EA">
        <w:rPr>
          <w:rFonts w:ascii="Arial" w:hAnsi="Arial" w:cs="Arial"/>
          <w:sz w:val="24"/>
          <w:szCs w:val="24"/>
          <w:vertAlign w:val="superscript"/>
        </w:rPr>
        <w:t>)</w:t>
      </w:r>
      <w:r w:rsidR="001557EA">
        <w:rPr>
          <w:rFonts w:ascii="Arial" w:hAnsi="Arial" w:cs="Arial"/>
          <w:sz w:val="24"/>
          <w:szCs w:val="24"/>
        </w:rPr>
        <w:t>.</w:t>
      </w:r>
    </w:p>
    <w:p w:rsidR="00D9393E" w:rsidRPr="001557EA" w:rsidRDefault="006328DF" w:rsidP="00752B20">
      <w:pPr>
        <w:tabs>
          <w:tab w:val="left" w:pos="141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7848">
        <w:rPr>
          <w:rFonts w:ascii="Arial" w:hAnsi="Arial" w:cs="Arial"/>
          <w:sz w:val="24"/>
          <w:szCs w:val="24"/>
        </w:rPr>
        <w:t>El prevalencia de EC está en aumento debido al mejor conocimiento de los profesionales de la salud sobre las formas atípicas y la mayor disponibilidad de recursos diagnósticos</w:t>
      </w:r>
      <w:r w:rsidR="00491629" w:rsidRPr="00747848">
        <w:rPr>
          <w:rFonts w:ascii="Arial" w:hAnsi="Arial" w:cs="Arial"/>
          <w:sz w:val="24"/>
          <w:szCs w:val="24"/>
        </w:rPr>
        <w:t xml:space="preserve"> </w:t>
      </w:r>
      <w:r w:rsidR="00491629" w:rsidRPr="001557EA">
        <w:rPr>
          <w:rFonts w:ascii="Arial" w:hAnsi="Arial" w:cs="Arial"/>
          <w:sz w:val="24"/>
          <w:szCs w:val="24"/>
          <w:vertAlign w:val="superscript"/>
        </w:rPr>
        <w:t>(7)</w:t>
      </w:r>
      <w:r w:rsidR="001557EA">
        <w:rPr>
          <w:rFonts w:ascii="Arial" w:hAnsi="Arial" w:cs="Arial"/>
          <w:sz w:val="24"/>
          <w:szCs w:val="24"/>
        </w:rPr>
        <w:t>.</w:t>
      </w:r>
      <w:r w:rsidRPr="001557EA">
        <w:rPr>
          <w:rFonts w:ascii="Arial" w:hAnsi="Arial" w:cs="Arial"/>
          <w:sz w:val="24"/>
          <w:szCs w:val="24"/>
        </w:rPr>
        <w:t xml:space="preserve"> </w:t>
      </w:r>
      <w:r w:rsidR="00942EB6" w:rsidRPr="00747848">
        <w:rPr>
          <w:rFonts w:ascii="Arial" w:hAnsi="Arial" w:cs="Arial"/>
          <w:sz w:val="24"/>
          <w:szCs w:val="24"/>
        </w:rPr>
        <w:t>Así también, el espectro de presentación de la EC está cambiando de las formas clásicas a las atípicas</w:t>
      </w:r>
      <w:r w:rsidR="00E96444" w:rsidRPr="00747848">
        <w:rPr>
          <w:rFonts w:ascii="Arial" w:hAnsi="Arial" w:cs="Arial"/>
          <w:sz w:val="24"/>
          <w:szCs w:val="24"/>
        </w:rPr>
        <w:t>, sobre todo en s</w:t>
      </w:r>
      <w:r w:rsidR="00D9393E" w:rsidRPr="00747848">
        <w:rPr>
          <w:rFonts w:ascii="Arial" w:hAnsi="Arial" w:cs="Arial"/>
          <w:sz w:val="24"/>
          <w:szCs w:val="24"/>
        </w:rPr>
        <w:t>ujetos de mayor edad como el</w:t>
      </w:r>
      <w:r w:rsidR="00E96444" w:rsidRPr="00747848">
        <w:rPr>
          <w:rFonts w:ascii="Arial" w:hAnsi="Arial" w:cs="Arial"/>
          <w:sz w:val="24"/>
          <w:szCs w:val="24"/>
        </w:rPr>
        <w:t xml:space="preserve"> reportado</w:t>
      </w:r>
      <w:r w:rsidR="001557EA">
        <w:rPr>
          <w:rFonts w:ascii="Arial" w:hAnsi="Arial" w:cs="Arial"/>
          <w:sz w:val="24"/>
          <w:szCs w:val="24"/>
        </w:rPr>
        <w:t xml:space="preserve"> </w:t>
      </w:r>
      <w:r w:rsidR="001557EA" w:rsidRPr="001557EA">
        <w:rPr>
          <w:rFonts w:ascii="Arial" w:hAnsi="Arial" w:cs="Arial"/>
          <w:sz w:val="24"/>
          <w:szCs w:val="24"/>
          <w:vertAlign w:val="superscript"/>
        </w:rPr>
        <w:t>(5)</w:t>
      </w:r>
      <w:r w:rsidR="001557EA">
        <w:rPr>
          <w:rFonts w:ascii="Arial" w:hAnsi="Arial" w:cs="Arial"/>
          <w:sz w:val="24"/>
          <w:szCs w:val="24"/>
        </w:rPr>
        <w:t>.</w:t>
      </w:r>
    </w:p>
    <w:p w:rsidR="006328DF" w:rsidRPr="001557EA" w:rsidRDefault="00D9393E" w:rsidP="00752B20">
      <w:pPr>
        <w:tabs>
          <w:tab w:val="left" w:pos="141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7848">
        <w:rPr>
          <w:rFonts w:ascii="Arial" w:hAnsi="Arial" w:cs="Arial"/>
          <w:sz w:val="24"/>
          <w:szCs w:val="24"/>
        </w:rPr>
        <w:t>La paciente fue educada para seguir una dieta sin gluten a pesar de ser asintomática. Si bien est</w:t>
      </w:r>
      <w:r w:rsidR="00250BC4" w:rsidRPr="00747848">
        <w:rPr>
          <w:rFonts w:ascii="Arial" w:hAnsi="Arial" w:cs="Arial"/>
          <w:sz w:val="24"/>
          <w:szCs w:val="24"/>
        </w:rPr>
        <w:t>a dieta es muy restrictiva y altera la calidad de vida de los celiacos, el riesgo de neoplasias digestivas y complicaciones crónicas mejora al suprimir el gluten de la dieta</w:t>
      </w:r>
      <w:r w:rsidR="001557EA">
        <w:rPr>
          <w:rFonts w:ascii="Arial" w:hAnsi="Arial" w:cs="Arial"/>
          <w:sz w:val="24"/>
          <w:szCs w:val="24"/>
        </w:rPr>
        <w:t xml:space="preserve"> </w:t>
      </w:r>
      <w:r w:rsidR="001557EA" w:rsidRPr="001557EA">
        <w:rPr>
          <w:rFonts w:ascii="Arial" w:hAnsi="Arial" w:cs="Arial"/>
          <w:sz w:val="24"/>
          <w:szCs w:val="24"/>
          <w:vertAlign w:val="superscript"/>
        </w:rPr>
        <w:t>(1,12)</w:t>
      </w:r>
      <w:r w:rsidR="001557EA">
        <w:rPr>
          <w:rFonts w:ascii="Arial" w:hAnsi="Arial" w:cs="Arial"/>
          <w:sz w:val="24"/>
          <w:szCs w:val="24"/>
        </w:rPr>
        <w:t>.</w:t>
      </w:r>
    </w:p>
    <w:p w:rsidR="00E4665A" w:rsidRDefault="001708B6" w:rsidP="00752B20">
      <w:pPr>
        <w:tabs>
          <w:tab w:val="left" w:pos="141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7848">
        <w:rPr>
          <w:rFonts w:ascii="Arial" w:hAnsi="Arial" w:cs="Arial"/>
          <w:sz w:val="24"/>
          <w:szCs w:val="24"/>
        </w:rPr>
        <w:t>En conclusión, s</w:t>
      </w:r>
      <w:r w:rsidR="00D9393E" w:rsidRPr="00747848">
        <w:rPr>
          <w:rFonts w:ascii="Arial" w:hAnsi="Arial" w:cs="Arial"/>
          <w:sz w:val="24"/>
          <w:szCs w:val="24"/>
        </w:rPr>
        <w:t>e recomienda a</w:t>
      </w:r>
      <w:r w:rsidR="00803DA0" w:rsidRPr="00747848">
        <w:rPr>
          <w:rFonts w:ascii="Arial" w:hAnsi="Arial" w:cs="Arial"/>
          <w:sz w:val="24"/>
          <w:szCs w:val="24"/>
        </w:rPr>
        <w:t xml:space="preserve"> los profesionales de la salud mantenerse</w:t>
      </w:r>
      <w:r w:rsidR="00D9393E" w:rsidRPr="00747848">
        <w:rPr>
          <w:rFonts w:ascii="Arial" w:hAnsi="Arial" w:cs="Arial"/>
          <w:sz w:val="24"/>
          <w:szCs w:val="24"/>
        </w:rPr>
        <w:t xml:space="preserve"> siempre alertas ante la posibilidad de estar frente a un paciente con EC, aún siendo éste un sujeto con sobrepeso u obesidad.</w:t>
      </w:r>
    </w:p>
    <w:p w:rsidR="000A768F" w:rsidRPr="00747848" w:rsidRDefault="000A768F" w:rsidP="00752B20">
      <w:pPr>
        <w:tabs>
          <w:tab w:val="left" w:pos="141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F3C7C" w:rsidRDefault="00DF3C7C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Conflictos de interés:</w:t>
      </w:r>
    </w:p>
    <w:p w:rsidR="00DF3C7C" w:rsidRDefault="00DF3C7C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autor declara que no existen conflictos de interés comercial ni se contó con apoyo financiero externo.</w:t>
      </w:r>
    </w:p>
    <w:p w:rsidR="00DF3C7C" w:rsidRPr="00DF3C7C" w:rsidRDefault="00DF3C7C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EF2" w:rsidRPr="00747848" w:rsidRDefault="000A768F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768F">
        <w:rPr>
          <w:rFonts w:ascii="Arial" w:hAnsi="Arial" w:cs="Arial"/>
          <w:b/>
          <w:sz w:val="24"/>
          <w:szCs w:val="24"/>
        </w:rPr>
        <w:t>Agradecimientos</w:t>
      </w:r>
      <w:r w:rsidR="004F0EA4">
        <w:rPr>
          <w:rFonts w:ascii="Arial" w:hAnsi="Arial" w:cs="Arial"/>
          <w:b/>
          <w:sz w:val="24"/>
          <w:szCs w:val="24"/>
        </w:rPr>
        <w:t>:</w:t>
      </w:r>
    </w:p>
    <w:p w:rsidR="000438CC" w:rsidRPr="00747848" w:rsidRDefault="000438CC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848">
        <w:rPr>
          <w:rFonts w:ascii="Arial" w:hAnsi="Arial" w:cs="Arial"/>
          <w:sz w:val="24"/>
          <w:szCs w:val="24"/>
        </w:rPr>
        <w:t xml:space="preserve">Al Dr. José Villarejo por proporcionar imágenes de la endoscopía digestiva alta y al Dr. Dr. Hugo </w:t>
      </w:r>
      <w:proofErr w:type="spellStart"/>
      <w:r w:rsidRPr="00747848">
        <w:rPr>
          <w:rFonts w:ascii="Arial" w:hAnsi="Arial" w:cs="Arial"/>
          <w:sz w:val="24"/>
          <w:szCs w:val="24"/>
        </w:rPr>
        <w:t>Boggino</w:t>
      </w:r>
      <w:proofErr w:type="spellEnd"/>
      <w:r w:rsidRPr="00747848">
        <w:rPr>
          <w:rFonts w:ascii="Arial" w:hAnsi="Arial" w:cs="Arial"/>
          <w:sz w:val="24"/>
          <w:szCs w:val="24"/>
        </w:rPr>
        <w:t xml:space="preserve"> por aportar imágenes de la biopsia duodenal.</w:t>
      </w:r>
    </w:p>
    <w:p w:rsidR="000438CC" w:rsidRPr="00747848" w:rsidRDefault="000438CC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EF2" w:rsidRPr="00747848" w:rsidRDefault="00582168" w:rsidP="00582168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Bibliografía:</w:t>
      </w:r>
    </w:p>
    <w:p w:rsidR="00E93EF2" w:rsidRPr="00747848" w:rsidRDefault="00E93EF2" w:rsidP="00752B20">
      <w:pPr>
        <w:tabs>
          <w:tab w:val="left" w:pos="14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0A08" w:rsidRPr="00582168" w:rsidRDefault="006C4671" w:rsidP="0097495C">
      <w:pPr>
        <w:numPr>
          <w:ilvl w:val="0"/>
          <w:numId w:val="3"/>
        </w:numPr>
        <w:tabs>
          <w:tab w:val="left" w:pos="1419"/>
        </w:tabs>
        <w:spacing w:after="0" w:line="48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582168">
        <w:rPr>
          <w:rFonts w:ascii="Arial" w:hAnsi="Arial" w:cs="Arial"/>
          <w:i/>
          <w:sz w:val="24"/>
          <w:szCs w:val="24"/>
        </w:rPr>
        <w:t xml:space="preserve">Schumann M,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Siegmund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B,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Schulzke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JD, Fromm M.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Celiac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r w:rsidR="001A0C4B" w:rsidRPr="00582168">
        <w:rPr>
          <w:rFonts w:ascii="Arial" w:hAnsi="Arial" w:cs="Arial"/>
          <w:i/>
          <w:sz w:val="24"/>
          <w:szCs w:val="24"/>
        </w:rPr>
        <w:t xml:space="preserve">disease: role of </w:t>
      </w:r>
      <w:proofErr w:type="spellStart"/>
      <w:r w:rsidR="001A0C4B" w:rsidRPr="00582168">
        <w:rPr>
          <w:rFonts w:ascii="Arial" w:hAnsi="Arial" w:cs="Arial"/>
          <w:i/>
          <w:sz w:val="24"/>
          <w:szCs w:val="24"/>
        </w:rPr>
        <w:t>the</w:t>
      </w:r>
      <w:proofErr w:type="spellEnd"/>
      <w:r w:rsidR="001A0C4B"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A0C4B" w:rsidRPr="00582168">
        <w:rPr>
          <w:rFonts w:ascii="Arial" w:hAnsi="Arial" w:cs="Arial"/>
          <w:i/>
          <w:sz w:val="24"/>
          <w:szCs w:val="24"/>
        </w:rPr>
        <w:t>epithelial</w:t>
      </w:r>
      <w:proofErr w:type="spellEnd"/>
      <w:r w:rsidR="001A0C4B"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A0C4B" w:rsidRPr="00582168">
        <w:rPr>
          <w:rFonts w:ascii="Arial" w:hAnsi="Arial" w:cs="Arial"/>
          <w:i/>
          <w:sz w:val="24"/>
          <w:szCs w:val="24"/>
        </w:rPr>
        <w:t>barrier</w:t>
      </w:r>
      <w:proofErr w:type="spellEnd"/>
      <w:r w:rsidR="001A0C4B" w:rsidRPr="00582168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Cell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Mol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Gastroenterol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Hepatol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. 2017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Jan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14</w:t>
      </w:r>
      <w:proofErr w:type="gramStart"/>
      <w:r w:rsidRPr="00582168">
        <w:rPr>
          <w:rFonts w:ascii="Arial" w:hAnsi="Arial" w:cs="Arial"/>
          <w:i/>
          <w:sz w:val="24"/>
          <w:szCs w:val="24"/>
        </w:rPr>
        <w:t>;3</w:t>
      </w:r>
      <w:proofErr w:type="gramEnd"/>
      <w:r w:rsidRPr="00582168">
        <w:rPr>
          <w:rFonts w:ascii="Arial" w:hAnsi="Arial" w:cs="Arial"/>
          <w:i/>
          <w:sz w:val="24"/>
          <w:szCs w:val="24"/>
        </w:rPr>
        <w:t>(2):150-162.</w:t>
      </w:r>
      <w:r w:rsidR="000D25C2" w:rsidRPr="000D25C2">
        <w:t xml:space="preserve"> </w:t>
      </w:r>
      <w:r w:rsidR="000D25C2" w:rsidRPr="000D25C2">
        <w:rPr>
          <w:rFonts w:ascii="Arial" w:hAnsi="Arial" w:cs="Arial"/>
          <w:i/>
          <w:sz w:val="24"/>
          <w:szCs w:val="24"/>
        </w:rPr>
        <w:t>https://www.ncbi.nlm.nih.gov/pmc/articles/PMC5331784/</w:t>
      </w:r>
    </w:p>
    <w:p w:rsidR="00DF0A08" w:rsidRPr="00582168" w:rsidRDefault="00DF0A08" w:rsidP="0097495C">
      <w:pPr>
        <w:numPr>
          <w:ilvl w:val="0"/>
          <w:numId w:val="3"/>
        </w:numPr>
        <w:spacing w:after="0" w:line="48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proofErr w:type="spellStart"/>
      <w:r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Nadhem</w:t>
      </w:r>
      <w:proofErr w:type="spellEnd"/>
      <w:r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ON, </w:t>
      </w:r>
      <w:proofErr w:type="spellStart"/>
      <w:r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Azeez</w:t>
      </w:r>
      <w:proofErr w:type="spellEnd"/>
      <w:r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G, </w:t>
      </w:r>
      <w:proofErr w:type="spellStart"/>
      <w:r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Smalligan</w:t>
      </w:r>
      <w:proofErr w:type="spellEnd"/>
      <w:r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RD, </w:t>
      </w:r>
      <w:proofErr w:type="spellStart"/>
      <w:r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Urban</w:t>
      </w:r>
      <w:proofErr w:type="spellEnd"/>
      <w:r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S. </w:t>
      </w:r>
      <w:proofErr w:type="spellStart"/>
      <w:r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Review</w:t>
      </w:r>
      <w:proofErr w:type="spellEnd"/>
      <w:r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and </w:t>
      </w:r>
      <w:proofErr w:type="spellStart"/>
      <w:r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practice</w:t>
      </w:r>
      <w:proofErr w:type="spellEnd"/>
      <w:r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</w:t>
      </w:r>
      <w:proofErr w:type="spellStart"/>
      <w:r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guidelines</w:t>
      </w:r>
      <w:proofErr w:type="spellEnd"/>
      <w:r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</w:t>
      </w:r>
      <w:proofErr w:type="spellStart"/>
      <w:r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for</w:t>
      </w:r>
      <w:proofErr w:type="spellEnd"/>
      <w:r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</w:t>
      </w:r>
      <w:proofErr w:type="spellStart"/>
      <w:r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celiac</w:t>
      </w:r>
      <w:proofErr w:type="spellEnd"/>
      <w:r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disease in 2014. </w:t>
      </w:r>
      <w:proofErr w:type="spellStart"/>
      <w:r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Postgrad</w:t>
      </w:r>
      <w:proofErr w:type="spellEnd"/>
      <w:r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</w:t>
      </w:r>
      <w:proofErr w:type="spellStart"/>
      <w:r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Med</w:t>
      </w:r>
      <w:proofErr w:type="spellEnd"/>
      <w:r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. 2015 Apr;127(3):259-65.</w:t>
      </w:r>
      <w:r w:rsidR="000D25C2" w:rsidRPr="000D25C2">
        <w:rPr>
          <w:rFonts w:ascii="Arial" w:eastAsia="Times New Roman" w:hAnsi="Arial" w:cs="Arial"/>
          <w:i/>
          <w:sz w:val="24"/>
          <w:szCs w:val="24"/>
          <w:lang w:val="es-ES" w:eastAsia="es-ES"/>
        </w:rPr>
        <w:t>http://www.tandfonline.com/doi/abs/10.1080/00325481.2015.1015926?journalCode=ipgm20</w:t>
      </w:r>
    </w:p>
    <w:p w:rsidR="006C4671" w:rsidRPr="000D25C2" w:rsidRDefault="000D25C2" w:rsidP="000D25C2">
      <w:pPr>
        <w:numPr>
          <w:ilvl w:val="0"/>
          <w:numId w:val="3"/>
        </w:numPr>
        <w:tabs>
          <w:tab w:val="left" w:pos="1419"/>
        </w:tabs>
        <w:spacing w:after="0" w:line="48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0D25C2">
        <w:rPr>
          <w:rFonts w:ascii="Arial" w:hAnsi="Arial" w:cs="Arial"/>
          <w:i/>
          <w:sz w:val="24"/>
          <w:szCs w:val="24"/>
        </w:rPr>
        <w:t>Vandenplas</w:t>
      </w:r>
      <w:proofErr w:type="spellEnd"/>
      <w:r w:rsidRPr="000D25C2">
        <w:rPr>
          <w:rFonts w:ascii="Arial" w:hAnsi="Arial" w:cs="Arial"/>
          <w:i/>
          <w:sz w:val="24"/>
          <w:szCs w:val="24"/>
        </w:rPr>
        <w:t xml:space="preserve"> Y. </w:t>
      </w:r>
      <w:proofErr w:type="spellStart"/>
      <w:r w:rsidRPr="000D25C2">
        <w:rPr>
          <w:rFonts w:ascii="Arial" w:hAnsi="Arial" w:cs="Arial"/>
          <w:i/>
          <w:sz w:val="24"/>
          <w:szCs w:val="24"/>
        </w:rPr>
        <w:t>Lactose</w:t>
      </w:r>
      <w:proofErr w:type="spellEnd"/>
      <w:r w:rsidRPr="000D25C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D25C2">
        <w:rPr>
          <w:rFonts w:ascii="Arial" w:hAnsi="Arial" w:cs="Arial"/>
          <w:i/>
          <w:sz w:val="24"/>
          <w:szCs w:val="24"/>
        </w:rPr>
        <w:t>intolerance</w:t>
      </w:r>
      <w:proofErr w:type="spellEnd"/>
      <w:r w:rsidRPr="000D25C2">
        <w:rPr>
          <w:rFonts w:ascii="Arial" w:hAnsi="Arial" w:cs="Arial"/>
          <w:i/>
          <w:sz w:val="24"/>
          <w:szCs w:val="24"/>
        </w:rPr>
        <w:t xml:space="preserve">. Asia </w:t>
      </w:r>
      <w:proofErr w:type="spellStart"/>
      <w:r w:rsidRPr="000D25C2">
        <w:rPr>
          <w:rFonts w:ascii="Arial" w:hAnsi="Arial" w:cs="Arial"/>
          <w:i/>
          <w:sz w:val="24"/>
          <w:szCs w:val="24"/>
        </w:rPr>
        <w:t>Pac</w:t>
      </w:r>
      <w:proofErr w:type="spellEnd"/>
      <w:r w:rsidRPr="000D25C2">
        <w:rPr>
          <w:rFonts w:ascii="Arial" w:hAnsi="Arial" w:cs="Arial"/>
          <w:i/>
          <w:sz w:val="24"/>
          <w:szCs w:val="24"/>
        </w:rPr>
        <w:t xml:space="preserve"> J </w:t>
      </w:r>
      <w:proofErr w:type="spellStart"/>
      <w:r w:rsidRPr="000D25C2">
        <w:rPr>
          <w:rFonts w:ascii="Arial" w:hAnsi="Arial" w:cs="Arial"/>
          <w:i/>
          <w:sz w:val="24"/>
          <w:szCs w:val="24"/>
        </w:rPr>
        <w:t>Clin</w:t>
      </w:r>
      <w:proofErr w:type="spellEnd"/>
      <w:r w:rsidRPr="000D25C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D25C2">
        <w:rPr>
          <w:rFonts w:ascii="Arial" w:hAnsi="Arial" w:cs="Arial"/>
          <w:i/>
          <w:sz w:val="24"/>
          <w:szCs w:val="24"/>
        </w:rPr>
        <w:t>Nutr</w:t>
      </w:r>
      <w:proofErr w:type="spellEnd"/>
      <w:r w:rsidRPr="000D25C2">
        <w:rPr>
          <w:rFonts w:ascii="Arial" w:hAnsi="Arial" w:cs="Arial"/>
          <w:i/>
          <w:sz w:val="24"/>
          <w:szCs w:val="24"/>
        </w:rPr>
        <w:t>. 2015</w:t>
      </w:r>
      <w:proofErr w:type="gramStart"/>
      <w:r w:rsidRPr="000D25C2">
        <w:rPr>
          <w:rFonts w:ascii="Arial" w:hAnsi="Arial" w:cs="Arial"/>
          <w:i/>
          <w:sz w:val="24"/>
          <w:szCs w:val="24"/>
        </w:rPr>
        <w:t>;24</w:t>
      </w:r>
      <w:proofErr w:type="gramEnd"/>
      <w:r w:rsidRPr="000D25C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D25C2">
        <w:rPr>
          <w:rFonts w:ascii="Arial" w:hAnsi="Arial" w:cs="Arial"/>
          <w:i/>
          <w:sz w:val="24"/>
          <w:szCs w:val="24"/>
        </w:rPr>
        <w:t>Suppl</w:t>
      </w:r>
      <w:proofErr w:type="spellEnd"/>
      <w:r w:rsidRPr="000D25C2">
        <w:rPr>
          <w:rFonts w:ascii="Arial" w:hAnsi="Arial" w:cs="Arial"/>
          <w:i/>
          <w:sz w:val="24"/>
          <w:szCs w:val="24"/>
        </w:rPr>
        <w:t xml:space="preserve"> 1:S9-13.   http://apjcn.nhri.org.tw/server/APJCN/24%20Suppl%201//S9.pdf</w:t>
      </w:r>
    </w:p>
    <w:p w:rsidR="006C4671" w:rsidRPr="00582168" w:rsidRDefault="006C4671" w:rsidP="0097495C">
      <w:pPr>
        <w:numPr>
          <w:ilvl w:val="0"/>
          <w:numId w:val="3"/>
        </w:numPr>
        <w:tabs>
          <w:tab w:val="left" w:pos="1419"/>
        </w:tabs>
        <w:spacing w:after="0" w:line="48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582168">
        <w:rPr>
          <w:rFonts w:ascii="Arial" w:hAnsi="Arial" w:cs="Arial"/>
          <w:i/>
          <w:sz w:val="24"/>
          <w:szCs w:val="24"/>
        </w:rPr>
        <w:t>Diamanti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A, Capriati T, Basso MS,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Panetta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F, Di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Ciommo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Laurora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VM,</w:t>
      </w:r>
      <w:r w:rsidR="009C65E1">
        <w:rPr>
          <w:rFonts w:ascii="Arial" w:hAnsi="Arial" w:cs="Arial"/>
          <w:i/>
          <w:sz w:val="24"/>
          <w:szCs w:val="24"/>
        </w:rPr>
        <w:t xml:space="preserve"> et al</w:t>
      </w:r>
      <w:r w:rsidRPr="00582168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Celiac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disease and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overweight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in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children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: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an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update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Nutrients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. 2014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Jan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2</w:t>
      </w:r>
      <w:proofErr w:type="gramStart"/>
      <w:r w:rsidRPr="00582168">
        <w:rPr>
          <w:rFonts w:ascii="Arial" w:hAnsi="Arial" w:cs="Arial"/>
          <w:i/>
          <w:sz w:val="24"/>
          <w:szCs w:val="24"/>
        </w:rPr>
        <w:t>;6</w:t>
      </w:r>
      <w:proofErr w:type="gramEnd"/>
      <w:r w:rsidRPr="00582168">
        <w:rPr>
          <w:rFonts w:ascii="Arial" w:hAnsi="Arial" w:cs="Arial"/>
          <w:i/>
          <w:sz w:val="24"/>
          <w:szCs w:val="24"/>
        </w:rPr>
        <w:t>(1):207-20.</w:t>
      </w:r>
      <w:r w:rsidR="00122926" w:rsidRPr="00122926">
        <w:t xml:space="preserve"> </w:t>
      </w:r>
      <w:r w:rsidR="00122926" w:rsidRPr="00122926">
        <w:rPr>
          <w:rFonts w:ascii="Arial" w:hAnsi="Arial" w:cs="Arial"/>
          <w:i/>
          <w:sz w:val="24"/>
          <w:szCs w:val="24"/>
        </w:rPr>
        <w:t>https://www.ncbi.nlm.nih.gov/pmc/articles/PMC3916856/</w:t>
      </w:r>
    </w:p>
    <w:p w:rsidR="00E7188B" w:rsidRPr="00582168" w:rsidRDefault="006C4671" w:rsidP="0097495C">
      <w:pPr>
        <w:numPr>
          <w:ilvl w:val="0"/>
          <w:numId w:val="3"/>
        </w:numPr>
        <w:tabs>
          <w:tab w:val="left" w:pos="1419"/>
        </w:tabs>
        <w:spacing w:after="0" w:line="48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582168">
        <w:rPr>
          <w:rFonts w:ascii="Arial" w:hAnsi="Arial" w:cs="Arial"/>
          <w:i/>
          <w:sz w:val="24"/>
          <w:szCs w:val="24"/>
        </w:rPr>
        <w:t>Nenna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R, </w:t>
      </w:r>
      <w:proofErr w:type="spellStart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Nenna</w:t>
      </w:r>
      <w:proofErr w:type="spellEnd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R, Mosca A, </w:t>
      </w:r>
      <w:proofErr w:type="spellStart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Mennini</w:t>
      </w:r>
      <w:proofErr w:type="spellEnd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M, Papa RE,</w:t>
      </w:r>
      <w:r w:rsidR="009C65E1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et al</w:t>
      </w:r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. Coeliac disease </w:t>
      </w:r>
      <w:proofErr w:type="spellStart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screening</w:t>
      </w:r>
      <w:proofErr w:type="spellEnd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</w:t>
      </w:r>
      <w:proofErr w:type="spellStart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among</w:t>
      </w:r>
      <w:proofErr w:type="spellEnd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a </w:t>
      </w:r>
      <w:proofErr w:type="spellStart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large</w:t>
      </w:r>
      <w:proofErr w:type="spellEnd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</w:t>
      </w:r>
      <w:proofErr w:type="spellStart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cohort</w:t>
      </w:r>
      <w:proofErr w:type="spellEnd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of </w:t>
      </w:r>
      <w:proofErr w:type="spellStart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overweight</w:t>
      </w:r>
      <w:proofErr w:type="spellEnd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/</w:t>
      </w:r>
      <w:proofErr w:type="spellStart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obese</w:t>
      </w:r>
      <w:proofErr w:type="spellEnd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</w:t>
      </w:r>
      <w:proofErr w:type="spellStart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children</w:t>
      </w:r>
      <w:proofErr w:type="spellEnd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. J </w:t>
      </w:r>
      <w:proofErr w:type="spellStart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Pediatr</w:t>
      </w:r>
      <w:proofErr w:type="spellEnd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</w:t>
      </w:r>
      <w:proofErr w:type="spellStart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Gastroenterol</w:t>
      </w:r>
      <w:proofErr w:type="spellEnd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</w:t>
      </w:r>
      <w:proofErr w:type="spellStart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Nutr</w:t>
      </w:r>
      <w:proofErr w:type="spellEnd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. 2015 Mar</w:t>
      </w:r>
      <w:proofErr w:type="gramStart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;60</w:t>
      </w:r>
      <w:proofErr w:type="gramEnd"/>
      <w:r w:rsidR="00E7188B" w:rsidRPr="00582168">
        <w:rPr>
          <w:rFonts w:ascii="Arial" w:eastAsia="Times New Roman" w:hAnsi="Arial" w:cs="Arial"/>
          <w:i/>
          <w:sz w:val="24"/>
          <w:szCs w:val="24"/>
          <w:lang w:val="es-ES" w:eastAsia="es-ES"/>
        </w:rPr>
        <w:t>(3):405-7.</w:t>
      </w:r>
      <w:r w:rsidR="00122926" w:rsidRPr="0012292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122926" w:rsidRPr="00122926">
        <w:rPr>
          <w:rFonts w:ascii="Arial" w:eastAsia="Times New Roman" w:hAnsi="Arial" w:cs="Arial"/>
          <w:i/>
          <w:sz w:val="24"/>
          <w:szCs w:val="24"/>
          <w:lang w:eastAsia="es-ES"/>
        </w:rPr>
        <w:t>doi</w:t>
      </w:r>
      <w:proofErr w:type="spellEnd"/>
      <w:r w:rsidR="00122926" w:rsidRPr="00122926">
        <w:rPr>
          <w:rFonts w:ascii="Arial" w:eastAsia="Times New Roman" w:hAnsi="Arial" w:cs="Arial"/>
          <w:i/>
          <w:sz w:val="24"/>
          <w:szCs w:val="24"/>
          <w:lang w:eastAsia="es-ES"/>
        </w:rPr>
        <w:t>: 10.1097/MPG.0000000000000656.</w:t>
      </w:r>
    </w:p>
    <w:p w:rsidR="006C4671" w:rsidRPr="00582168" w:rsidRDefault="006C4671" w:rsidP="0097495C">
      <w:pPr>
        <w:numPr>
          <w:ilvl w:val="0"/>
          <w:numId w:val="3"/>
        </w:numPr>
        <w:tabs>
          <w:tab w:val="left" w:pos="1419"/>
        </w:tabs>
        <w:spacing w:after="0" w:line="48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582168">
        <w:rPr>
          <w:rFonts w:ascii="Arial" w:hAnsi="Arial" w:cs="Arial"/>
          <w:i/>
          <w:sz w:val="24"/>
          <w:szCs w:val="24"/>
        </w:rPr>
        <w:t>Poddar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U.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Pediatric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and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adult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celiac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disease: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similarities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and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differences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Indian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J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Gastroenterol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>. 2013 Sep</w:t>
      </w:r>
      <w:proofErr w:type="gramStart"/>
      <w:r w:rsidRPr="00582168">
        <w:rPr>
          <w:rFonts w:ascii="Arial" w:hAnsi="Arial" w:cs="Arial"/>
          <w:i/>
          <w:sz w:val="24"/>
          <w:szCs w:val="24"/>
        </w:rPr>
        <w:t>;32</w:t>
      </w:r>
      <w:proofErr w:type="gramEnd"/>
      <w:r w:rsidRPr="00582168">
        <w:rPr>
          <w:rFonts w:ascii="Arial" w:hAnsi="Arial" w:cs="Arial"/>
          <w:i/>
          <w:sz w:val="24"/>
          <w:szCs w:val="24"/>
        </w:rPr>
        <w:t>(5):283-8.</w:t>
      </w:r>
      <w:r w:rsidR="00122926" w:rsidRPr="00122926">
        <w:t xml:space="preserve"> </w:t>
      </w:r>
      <w:r w:rsidR="00122926" w:rsidRPr="00122926">
        <w:rPr>
          <w:rFonts w:ascii="Arial" w:hAnsi="Arial" w:cs="Arial"/>
          <w:i/>
          <w:sz w:val="24"/>
          <w:szCs w:val="24"/>
        </w:rPr>
        <w:t>https://link.springer.com/article/10.1007%2Fs12664-013-0339-9</w:t>
      </w:r>
    </w:p>
    <w:p w:rsidR="006C4671" w:rsidRPr="00582168" w:rsidRDefault="006C4671" w:rsidP="0097495C">
      <w:pPr>
        <w:numPr>
          <w:ilvl w:val="0"/>
          <w:numId w:val="3"/>
        </w:numPr>
        <w:tabs>
          <w:tab w:val="left" w:pos="1419"/>
        </w:tabs>
        <w:spacing w:after="0" w:line="48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582168">
        <w:rPr>
          <w:rFonts w:ascii="Arial" w:hAnsi="Arial" w:cs="Arial"/>
          <w:i/>
          <w:sz w:val="24"/>
          <w:szCs w:val="24"/>
        </w:rPr>
        <w:lastRenderedPageBreak/>
        <w:t>Cuenca-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Abente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F,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Nachman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F,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Bai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JC. Diagnosis of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celiac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disease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during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pre-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operative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work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-up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for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bariatric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surgery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. Acta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Gastroenterol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Latinoam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>. 2012 Dec</w:t>
      </w:r>
      <w:proofErr w:type="gramStart"/>
      <w:r w:rsidRPr="00582168">
        <w:rPr>
          <w:rFonts w:ascii="Arial" w:hAnsi="Arial" w:cs="Arial"/>
          <w:i/>
          <w:sz w:val="24"/>
          <w:szCs w:val="24"/>
        </w:rPr>
        <w:t>;42</w:t>
      </w:r>
      <w:proofErr w:type="gramEnd"/>
      <w:r w:rsidRPr="00582168">
        <w:rPr>
          <w:rFonts w:ascii="Arial" w:hAnsi="Arial" w:cs="Arial"/>
          <w:i/>
          <w:sz w:val="24"/>
          <w:szCs w:val="24"/>
        </w:rPr>
        <w:t>(4):321-4.</w:t>
      </w:r>
      <w:r w:rsidR="00122926" w:rsidRPr="00122926">
        <w:t xml:space="preserve"> </w:t>
      </w:r>
      <w:r w:rsidR="00122926" w:rsidRPr="00122926">
        <w:rPr>
          <w:rFonts w:ascii="Arial" w:hAnsi="Arial" w:cs="Arial"/>
          <w:i/>
          <w:sz w:val="24"/>
          <w:szCs w:val="24"/>
        </w:rPr>
        <w:t>http://actagastro.org/indice-vol-42-n4-de-2012/</w:t>
      </w:r>
    </w:p>
    <w:p w:rsidR="006C4671" w:rsidRPr="00582168" w:rsidRDefault="006C4671" w:rsidP="0097495C">
      <w:pPr>
        <w:numPr>
          <w:ilvl w:val="0"/>
          <w:numId w:val="3"/>
        </w:numPr>
        <w:tabs>
          <w:tab w:val="left" w:pos="1419"/>
        </w:tabs>
        <w:spacing w:after="0" w:line="48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582168">
        <w:rPr>
          <w:rFonts w:ascii="Arial" w:hAnsi="Arial" w:cs="Arial"/>
          <w:i/>
          <w:sz w:val="24"/>
          <w:szCs w:val="24"/>
        </w:rPr>
        <w:t>Dickey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W, Kearney N.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Overweight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in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celiac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disease: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prevalence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clinical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characteristics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, and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effect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of a gluten-free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diet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. Am J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Gastroenterol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. 2006 </w:t>
      </w:r>
      <w:r w:rsidR="00FC5D93">
        <w:rPr>
          <w:rFonts w:ascii="Arial" w:hAnsi="Arial" w:cs="Arial"/>
          <w:i/>
          <w:sz w:val="24"/>
          <w:szCs w:val="24"/>
        </w:rPr>
        <w:t>Oct</w:t>
      </w:r>
      <w:proofErr w:type="gramStart"/>
      <w:r w:rsidR="00FC5D93">
        <w:rPr>
          <w:rFonts w:ascii="Arial" w:hAnsi="Arial" w:cs="Arial"/>
          <w:i/>
          <w:sz w:val="24"/>
          <w:szCs w:val="24"/>
        </w:rPr>
        <w:t>;101</w:t>
      </w:r>
      <w:proofErr w:type="gramEnd"/>
      <w:r w:rsidR="00FC5D93">
        <w:rPr>
          <w:rFonts w:ascii="Arial" w:hAnsi="Arial" w:cs="Arial"/>
          <w:i/>
          <w:sz w:val="24"/>
          <w:szCs w:val="24"/>
        </w:rPr>
        <w:t xml:space="preserve">(10):2356-9. </w:t>
      </w:r>
      <w:r w:rsidR="00FC5D93" w:rsidRPr="00FC5D93">
        <w:rPr>
          <w:rFonts w:ascii="Arial" w:hAnsi="Arial" w:cs="Arial"/>
          <w:i/>
          <w:sz w:val="24"/>
          <w:szCs w:val="24"/>
        </w:rPr>
        <w:t>http://www.nature.com/ajg/journal/v101/n10/full/ajg2006434a.html</w:t>
      </w:r>
    </w:p>
    <w:p w:rsidR="006C4671" w:rsidRPr="00582168" w:rsidRDefault="006C4671" w:rsidP="0097495C">
      <w:pPr>
        <w:numPr>
          <w:ilvl w:val="0"/>
          <w:numId w:val="3"/>
        </w:numPr>
        <w:tabs>
          <w:tab w:val="left" w:pos="1419"/>
        </w:tabs>
        <w:spacing w:after="0" w:line="48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582168">
        <w:rPr>
          <w:rFonts w:ascii="Arial" w:hAnsi="Arial" w:cs="Arial"/>
          <w:i/>
          <w:sz w:val="24"/>
          <w:szCs w:val="24"/>
        </w:rPr>
        <w:t xml:space="preserve">Singh I,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Agnihotri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A,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Sharma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A,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Verma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AK, Das P,</w:t>
      </w:r>
      <w:r w:rsidR="009C65E1">
        <w:rPr>
          <w:rFonts w:ascii="Arial" w:hAnsi="Arial" w:cs="Arial"/>
          <w:i/>
          <w:sz w:val="24"/>
          <w:szCs w:val="24"/>
        </w:rPr>
        <w:t xml:space="preserve"> et al</w:t>
      </w:r>
      <w:r w:rsidRPr="00582168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Patients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with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celiac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disease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may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have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normal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weight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or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may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even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be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overweight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Indian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J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Gastroenterol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>. 2016 Jan</w:t>
      </w:r>
      <w:proofErr w:type="gramStart"/>
      <w:r w:rsidRPr="00582168">
        <w:rPr>
          <w:rFonts w:ascii="Arial" w:hAnsi="Arial" w:cs="Arial"/>
          <w:i/>
          <w:sz w:val="24"/>
          <w:szCs w:val="24"/>
        </w:rPr>
        <w:t>;35</w:t>
      </w:r>
      <w:proofErr w:type="gramEnd"/>
      <w:r w:rsidRPr="00582168">
        <w:rPr>
          <w:rFonts w:ascii="Arial" w:hAnsi="Arial" w:cs="Arial"/>
          <w:i/>
          <w:sz w:val="24"/>
          <w:szCs w:val="24"/>
        </w:rPr>
        <w:t>(1):20-4.</w:t>
      </w:r>
      <w:r w:rsidR="00FC5D93" w:rsidRPr="00FC5D93">
        <w:t xml:space="preserve"> </w:t>
      </w:r>
      <w:r w:rsidR="00FC5D93" w:rsidRPr="00FC5D93">
        <w:rPr>
          <w:rFonts w:ascii="Arial" w:hAnsi="Arial" w:cs="Arial"/>
          <w:i/>
          <w:sz w:val="24"/>
          <w:szCs w:val="24"/>
        </w:rPr>
        <w:t>https://link.springer.com/article/10.1007%2Fs12664-016-0620-9</w:t>
      </w:r>
    </w:p>
    <w:p w:rsidR="006C4671" w:rsidRPr="00582168" w:rsidRDefault="006C4671" w:rsidP="0097495C">
      <w:pPr>
        <w:numPr>
          <w:ilvl w:val="0"/>
          <w:numId w:val="3"/>
        </w:numPr>
        <w:tabs>
          <w:tab w:val="left" w:pos="567"/>
        </w:tabs>
        <w:spacing w:after="0" w:line="48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582168">
        <w:rPr>
          <w:rFonts w:ascii="Arial" w:hAnsi="Arial" w:cs="Arial"/>
          <w:i/>
          <w:sz w:val="24"/>
          <w:szCs w:val="24"/>
        </w:rPr>
        <w:t xml:space="preserve">Tucker E,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Rostami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K,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Prabhakaran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S, Al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Dulaimi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D.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Patients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with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coeliac disease are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increasingly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overweight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or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obese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on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presentation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. J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Gastrointestin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Liver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Dis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>. 2012 Mar</w:t>
      </w:r>
      <w:proofErr w:type="gramStart"/>
      <w:r w:rsidRPr="00582168">
        <w:rPr>
          <w:rFonts w:ascii="Arial" w:hAnsi="Arial" w:cs="Arial"/>
          <w:i/>
          <w:sz w:val="24"/>
          <w:szCs w:val="24"/>
        </w:rPr>
        <w:t>;21</w:t>
      </w:r>
      <w:proofErr w:type="gramEnd"/>
      <w:r w:rsidRPr="00582168">
        <w:rPr>
          <w:rFonts w:ascii="Arial" w:hAnsi="Arial" w:cs="Arial"/>
          <w:i/>
          <w:sz w:val="24"/>
          <w:szCs w:val="24"/>
        </w:rPr>
        <w:t>(1):11-5.</w:t>
      </w:r>
      <w:r w:rsidR="00FC5D93" w:rsidRPr="00FC5D93">
        <w:t xml:space="preserve"> </w:t>
      </w:r>
      <w:r w:rsidR="00FC5D93" w:rsidRPr="00FC5D93">
        <w:rPr>
          <w:rFonts w:ascii="Arial" w:hAnsi="Arial" w:cs="Arial"/>
          <w:i/>
          <w:sz w:val="24"/>
          <w:szCs w:val="24"/>
        </w:rPr>
        <w:t>http://www.jgld.ro/2012/1/4.html</w:t>
      </w:r>
    </w:p>
    <w:p w:rsidR="006C4671" w:rsidRPr="00582168" w:rsidRDefault="006C4671" w:rsidP="0097495C">
      <w:pPr>
        <w:numPr>
          <w:ilvl w:val="0"/>
          <w:numId w:val="3"/>
        </w:numPr>
        <w:tabs>
          <w:tab w:val="left" w:pos="567"/>
        </w:tabs>
        <w:spacing w:after="0" w:line="48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582168">
        <w:rPr>
          <w:rFonts w:ascii="Arial" w:hAnsi="Arial" w:cs="Arial"/>
          <w:i/>
          <w:sz w:val="24"/>
          <w:szCs w:val="24"/>
        </w:rPr>
        <w:t>Rahimi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AR,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Daryani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NE,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Ghofrani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H,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Taher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M,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Pashaei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MR,</w:t>
      </w:r>
      <w:r w:rsidR="009C65E1">
        <w:rPr>
          <w:rFonts w:ascii="Arial" w:hAnsi="Arial" w:cs="Arial"/>
          <w:i/>
          <w:sz w:val="24"/>
          <w:szCs w:val="24"/>
        </w:rPr>
        <w:t xml:space="preserve"> et al</w:t>
      </w:r>
      <w:r w:rsidRPr="00582168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The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prevalence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of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celiac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disease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among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patients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with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non-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alcoholic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fatty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liver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disease in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Iran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Turk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J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Gastroenterol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>. 2011 Jun</w:t>
      </w:r>
      <w:proofErr w:type="gramStart"/>
      <w:r w:rsidRPr="00582168">
        <w:rPr>
          <w:rFonts w:ascii="Arial" w:hAnsi="Arial" w:cs="Arial"/>
          <w:i/>
          <w:sz w:val="24"/>
          <w:szCs w:val="24"/>
        </w:rPr>
        <w:t>;22</w:t>
      </w:r>
      <w:proofErr w:type="gramEnd"/>
      <w:r w:rsidRPr="00582168">
        <w:rPr>
          <w:rFonts w:ascii="Arial" w:hAnsi="Arial" w:cs="Arial"/>
          <w:i/>
          <w:sz w:val="24"/>
          <w:szCs w:val="24"/>
        </w:rPr>
        <w:t>(3):300-4.</w:t>
      </w:r>
      <w:r w:rsidR="00FC5D93" w:rsidRPr="00FC5D93">
        <w:t xml:space="preserve"> </w:t>
      </w:r>
      <w:r w:rsidR="00FC5D93" w:rsidRPr="00FC5D93">
        <w:rPr>
          <w:rFonts w:ascii="Arial" w:hAnsi="Arial" w:cs="Arial"/>
          <w:i/>
          <w:sz w:val="24"/>
          <w:szCs w:val="24"/>
        </w:rPr>
        <w:t>http://www.turkjgastroenterol.org/eng/makale/4055/263/Full-Text</w:t>
      </w:r>
    </w:p>
    <w:p w:rsidR="006C4671" w:rsidRPr="00582168" w:rsidRDefault="006C4671" w:rsidP="0097495C">
      <w:pPr>
        <w:numPr>
          <w:ilvl w:val="0"/>
          <w:numId w:val="3"/>
        </w:numPr>
        <w:tabs>
          <w:tab w:val="left" w:pos="567"/>
        </w:tabs>
        <w:spacing w:after="0" w:line="48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582168">
        <w:rPr>
          <w:rFonts w:ascii="Arial" w:hAnsi="Arial" w:cs="Arial"/>
          <w:i/>
          <w:sz w:val="24"/>
          <w:szCs w:val="24"/>
        </w:rPr>
        <w:t>Cappello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M,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Morreale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GC,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Licata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A.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Elderly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A0C4B" w:rsidRPr="00582168">
        <w:rPr>
          <w:rFonts w:ascii="Arial" w:hAnsi="Arial" w:cs="Arial"/>
          <w:i/>
          <w:sz w:val="24"/>
          <w:szCs w:val="24"/>
        </w:rPr>
        <w:t>onset</w:t>
      </w:r>
      <w:proofErr w:type="spellEnd"/>
      <w:r w:rsidR="001A0C4B"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A0C4B" w:rsidRPr="00582168">
        <w:rPr>
          <w:rFonts w:ascii="Arial" w:hAnsi="Arial" w:cs="Arial"/>
          <w:i/>
          <w:sz w:val="24"/>
          <w:szCs w:val="24"/>
        </w:rPr>
        <w:t>celiac</w:t>
      </w:r>
      <w:proofErr w:type="spellEnd"/>
      <w:r w:rsidR="001A0C4B" w:rsidRPr="00582168">
        <w:rPr>
          <w:rFonts w:ascii="Arial" w:hAnsi="Arial" w:cs="Arial"/>
          <w:i/>
          <w:sz w:val="24"/>
          <w:szCs w:val="24"/>
        </w:rPr>
        <w:t xml:space="preserve"> disease: a </w:t>
      </w:r>
      <w:proofErr w:type="spellStart"/>
      <w:r w:rsidR="001A0C4B" w:rsidRPr="00582168">
        <w:rPr>
          <w:rFonts w:ascii="Arial" w:hAnsi="Arial" w:cs="Arial"/>
          <w:i/>
          <w:sz w:val="24"/>
          <w:szCs w:val="24"/>
        </w:rPr>
        <w:t>narrative</w:t>
      </w:r>
      <w:proofErr w:type="spellEnd"/>
      <w:r w:rsidR="001A0C4B"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A0C4B" w:rsidRPr="00582168">
        <w:rPr>
          <w:rFonts w:ascii="Arial" w:hAnsi="Arial" w:cs="Arial"/>
          <w:i/>
          <w:sz w:val="24"/>
          <w:szCs w:val="24"/>
        </w:rPr>
        <w:t>review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Clin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Med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Insights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Gastroenterol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. 2016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Jul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27</w:t>
      </w:r>
      <w:proofErr w:type="gramStart"/>
      <w:r w:rsidRPr="00582168">
        <w:rPr>
          <w:rFonts w:ascii="Arial" w:hAnsi="Arial" w:cs="Arial"/>
          <w:i/>
          <w:sz w:val="24"/>
          <w:szCs w:val="24"/>
        </w:rPr>
        <w:t>;9:41</w:t>
      </w:r>
      <w:proofErr w:type="gramEnd"/>
      <w:r w:rsidRPr="00582168">
        <w:rPr>
          <w:rFonts w:ascii="Arial" w:hAnsi="Arial" w:cs="Arial"/>
          <w:i/>
          <w:sz w:val="24"/>
          <w:szCs w:val="24"/>
        </w:rPr>
        <w:t>-9.</w:t>
      </w:r>
      <w:r w:rsidR="00FC5D93" w:rsidRPr="00FC5D93">
        <w:t xml:space="preserve"> </w:t>
      </w:r>
      <w:r w:rsidR="00FC5D93" w:rsidRPr="00FC5D93">
        <w:rPr>
          <w:rFonts w:ascii="Arial" w:hAnsi="Arial" w:cs="Arial"/>
          <w:i/>
          <w:sz w:val="24"/>
          <w:szCs w:val="24"/>
        </w:rPr>
        <w:t>https://www.ncbi.nlm.nih.gov/pmc/articles/PMC4965017/</w:t>
      </w:r>
    </w:p>
    <w:p w:rsidR="00E374B1" w:rsidRDefault="006C4671" w:rsidP="00E374B1">
      <w:pPr>
        <w:numPr>
          <w:ilvl w:val="0"/>
          <w:numId w:val="3"/>
        </w:numPr>
        <w:tabs>
          <w:tab w:val="left" w:pos="567"/>
        </w:tabs>
        <w:spacing w:after="0" w:line="48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582168">
        <w:rPr>
          <w:rFonts w:ascii="Arial" w:hAnsi="Arial" w:cs="Arial"/>
          <w:i/>
          <w:sz w:val="24"/>
          <w:szCs w:val="24"/>
        </w:rPr>
        <w:t xml:space="preserve">Real Delor RE. Actualización en diagnóstico de </w:t>
      </w:r>
      <w:r w:rsidR="001A0C4B" w:rsidRPr="00582168">
        <w:rPr>
          <w:rFonts w:ascii="Arial" w:hAnsi="Arial" w:cs="Arial"/>
          <w:i/>
          <w:sz w:val="24"/>
          <w:szCs w:val="24"/>
        </w:rPr>
        <w:t xml:space="preserve">enfermedad </w:t>
      </w:r>
      <w:r w:rsidRPr="00582168">
        <w:rPr>
          <w:rFonts w:ascii="Arial" w:hAnsi="Arial" w:cs="Arial"/>
          <w:i/>
          <w:sz w:val="24"/>
          <w:szCs w:val="24"/>
        </w:rPr>
        <w:t xml:space="preserve">celiaca.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An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Fac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82168">
        <w:rPr>
          <w:rFonts w:ascii="Arial" w:hAnsi="Arial" w:cs="Arial"/>
          <w:i/>
          <w:sz w:val="24"/>
          <w:szCs w:val="24"/>
        </w:rPr>
        <w:t>Med</w:t>
      </w:r>
      <w:proofErr w:type="spellEnd"/>
      <w:r w:rsidRPr="00582168">
        <w:rPr>
          <w:rFonts w:ascii="Arial" w:hAnsi="Arial" w:cs="Arial"/>
          <w:i/>
          <w:sz w:val="24"/>
          <w:szCs w:val="24"/>
        </w:rPr>
        <w:t>. 2016</w:t>
      </w:r>
      <w:proofErr w:type="gramStart"/>
      <w:r w:rsidRPr="00582168">
        <w:rPr>
          <w:rFonts w:ascii="Arial" w:hAnsi="Arial" w:cs="Arial"/>
          <w:i/>
          <w:sz w:val="24"/>
          <w:szCs w:val="24"/>
        </w:rPr>
        <w:t>;77</w:t>
      </w:r>
      <w:proofErr w:type="gramEnd"/>
      <w:r w:rsidRPr="00582168">
        <w:rPr>
          <w:rFonts w:ascii="Arial" w:hAnsi="Arial" w:cs="Arial"/>
          <w:i/>
          <w:sz w:val="24"/>
          <w:szCs w:val="24"/>
        </w:rPr>
        <w:t>(4):393-8.</w:t>
      </w:r>
      <w:r w:rsidR="0029440E" w:rsidRPr="0029440E">
        <w:t xml:space="preserve"> </w:t>
      </w:r>
      <w:hyperlink r:id="rId9" w:history="1">
        <w:r w:rsidR="00E374B1" w:rsidRPr="00E374B1">
          <w:rPr>
            <w:rStyle w:val="Hipervnculo"/>
            <w:rFonts w:ascii="Arial" w:hAnsi="Arial" w:cs="Arial"/>
            <w:i/>
            <w:color w:val="auto"/>
            <w:sz w:val="24"/>
            <w:szCs w:val="24"/>
            <w:u w:val="none"/>
          </w:rPr>
          <w:t>http://revistasinvestigacion.unmsm.edu.pe/index.php/anales/article/view/12657</w:t>
        </w:r>
      </w:hyperlink>
    </w:p>
    <w:p w:rsidR="00503BE5" w:rsidRPr="00433647" w:rsidRDefault="00E374B1" w:rsidP="00433647">
      <w:pPr>
        <w:numPr>
          <w:ilvl w:val="0"/>
          <w:numId w:val="3"/>
        </w:numPr>
        <w:tabs>
          <w:tab w:val="left" w:pos="567"/>
        </w:tabs>
        <w:spacing w:after="0" w:line="48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E374B1">
        <w:rPr>
          <w:rFonts w:ascii="Arial" w:hAnsi="Arial" w:cs="Arial"/>
          <w:i/>
          <w:sz w:val="24"/>
          <w:szCs w:val="24"/>
        </w:rPr>
        <w:t>Passera</w:t>
      </w:r>
      <w:proofErr w:type="spellEnd"/>
      <w:r w:rsidRPr="00E374B1">
        <w:rPr>
          <w:rFonts w:ascii="Arial" w:hAnsi="Arial" w:cs="Arial"/>
          <w:i/>
          <w:sz w:val="24"/>
          <w:szCs w:val="24"/>
        </w:rPr>
        <w:t xml:space="preserve"> AH, </w:t>
      </w:r>
      <w:proofErr w:type="spellStart"/>
      <w:r w:rsidRPr="00E374B1">
        <w:rPr>
          <w:rFonts w:ascii="Arial" w:hAnsi="Arial" w:cs="Arial"/>
          <w:i/>
          <w:sz w:val="24"/>
          <w:szCs w:val="24"/>
        </w:rPr>
        <w:t>Passera</w:t>
      </w:r>
      <w:proofErr w:type="spellEnd"/>
      <w:r w:rsidRPr="00E374B1">
        <w:rPr>
          <w:rFonts w:ascii="Arial" w:hAnsi="Arial" w:cs="Arial"/>
          <w:i/>
          <w:sz w:val="24"/>
          <w:szCs w:val="24"/>
        </w:rPr>
        <w:t xml:space="preserve"> ML, Higa AL, Núñez MH, Armando A, Barzón S. Duodenitis crónica y Enfermedad Celíaca: un camino entre lo inespecífico y los primeros </w:t>
      </w:r>
      <w:proofErr w:type="spellStart"/>
      <w:r w:rsidRPr="00E374B1">
        <w:rPr>
          <w:rFonts w:ascii="Arial" w:hAnsi="Arial" w:cs="Arial"/>
          <w:i/>
          <w:sz w:val="24"/>
          <w:szCs w:val="24"/>
        </w:rPr>
        <w:t>estadíos</w:t>
      </w:r>
      <w:proofErr w:type="spellEnd"/>
      <w:r w:rsidRPr="00E374B1">
        <w:rPr>
          <w:rFonts w:ascii="Arial" w:hAnsi="Arial" w:cs="Arial"/>
          <w:i/>
          <w:sz w:val="24"/>
          <w:szCs w:val="24"/>
        </w:rPr>
        <w:t xml:space="preserve">  de </w:t>
      </w:r>
      <w:proofErr w:type="spellStart"/>
      <w:r w:rsidRPr="00E374B1">
        <w:rPr>
          <w:rFonts w:ascii="Arial" w:hAnsi="Arial" w:cs="Arial"/>
          <w:i/>
          <w:sz w:val="24"/>
          <w:szCs w:val="24"/>
        </w:rPr>
        <w:t>Marsh</w:t>
      </w:r>
      <w:proofErr w:type="spellEnd"/>
      <w:r w:rsidRPr="00E374B1">
        <w:rPr>
          <w:rFonts w:ascii="Arial" w:hAnsi="Arial" w:cs="Arial"/>
          <w:i/>
          <w:sz w:val="24"/>
          <w:szCs w:val="24"/>
        </w:rPr>
        <w:t>.</w:t>
      </w:r>
      <w:r w:rsidRPr="00E374B1">
        <w:t xml:space="preserve"> </w:t>
      </w:r>
      <w:r w:rsidR="00E11188" w:rsidRPr="00E11188">
        <w:rPr>
          <w:rFonts w:ascii="Arial" w:hAnsi="Arial" w:cs="Arial"/>
          <w:i/>
        </w:rPr>
        <w:t>Revista de la Facultad de Ciencias Médicas 72(2):123-126</w:t>
      </w:r>
      <w:r w:rsidR="00E11188" w:rsidRPr="00E11188">
        <w:rPr>
          <w:i/>
        </w:rPr>
        <w:t xml:space="preserve">. </w:t>
      </w:r>
      <w:r w:rsidRPr="00E374B1">
        <w:rPr>
          <w:rFonts w:ascii="Arial" w:hAnsi="Arial" w:cs="Arial"/>
          <w:i/>
          <w:sz w:val="24"/>
          <w:szCs w:val="24"/>
        </w:rPr>
        <w:t>http://revista.webs.fcm.unc.edu.ar/2015-722/</w:t>
      </w:r>
    </w:p>
    <w:sectPr w:rsidR="00503BE5" w:rsidRPr="00433647" w:rsidSect="009A4D2D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62C" w:rsidRDefault="00B6162C" w:rsidP="00BC5A85">
      <w:pPr>
        <w:spacing w:after="0" w:line="240" w:lineRule="auto"/>
      </w:pPr>
      <w:r>
        <w:separator/>
      </w:r>
    </w:p>
  </w:endnote>
  <w:endnote w:type="continuationSeparator" w:id="0">
    <w:p w:rsidR="00B6162C" w:rsidRDefault="00B6162C" w:rsidP="00BC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A85" w:rsidRDefault="00BC5A85">
    <w:pPr>
      <w:pStyle w:val="Piedepgina"/>
      <w:jc w:val="center"/>
    </w:pPr>
  </w:p>
  <w:p w:rsidR="00BC5A85" w:rsidRDefault="00BC5A8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62C" w:rsidRDefault="00B6162C" w:rsidP="00BC5A85">
      <w:pPr>
        <w:spacing w:after="0" w:line="240" w:lineRule="auto"/>
      </w:pPr>
      <w:r>
        <w:separator/>
      </w:r>
    </w:p>
  </w:footnote>
  <w:footnote w:type="continuationSeparator" w:id="0">
    <w:p w:rsidR="00B6162C" w:rsidRDefault="00B6162C" w:rsidP="00BC5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C58"/>
    <w:multiLevelType w:val="hybridMultilevel"/>
    <w:tmpl w:val="314A68E8"/>
    <w:lvl w:ilvl="0" w:tplc="959CF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60B3"/>
    <w:multiLevelType w:val="hybridMultilevel"/>
    <w:tmpl w:val="EF9012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67420"/>
    <w:multiLevelType w:val="hybridMultilevel"/>
    <w:tmpl w:val="72D86B04"/>
    <w:lvl w:ilvl="0" w:tplc="959CF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DF4"/>
    <w:rsid w:val="0001511A"/>
    <w:rsid w:val="000209B8"/>
    <w:rsid w:val="00020B9E"/>
    <w:rsid w:val="000438CC"/>
    <w:rsid w:val="00050972"/>
    <w:rsid w:val="0007671E"/>
    <w:rsid w:val="00090829"/>
    <w:rsid w:val="000A768F"/>
    <w:rsid w:val="000B1F31"/>
    <w:rsid w:val="000C548C"/>
    <w:rsid w:val="000D25C2"/>
    <w:rsid w:val="000D4520"/>
    <w:rsid w:val="00111236"/>
    <w:rsid w:val="00114B4C"/>
    <w:rsid w:val="00120D40"/>
    <w:rsid w:val="00122926"/>
    <w:rsid w:val="001557EA"/>
    <w:rsid w:val="00157C08"/>
    <w:rsid w:val="00163260"/>
    <w:rsid w:val="001708B6"/>
    <w:rsid w:val="00177E50"/>
    <w:rsid w:val="00184B20"/>
    <w:rsid w:val="00194076"/>
    <w:rsid w:val="001A0C4B"/>
    <w:rsid w:val="001E6F04"/>
    <w:rsid w:val="002251E7"/>
    <w:rsid w:val="00226360"/>
    <w:rsid w:val="00250BC4"/>
    <w:rsid w:val="002863F1"/>
    <w:rsid w:val="0029440E"/>
    <w:rsid w:val="002A03F7"/>
    <w:rsid w:val="002A5C55"/>
    <w:rsid w:val="002C4EDF"/>
    <w:rsid w:val="002F3E3E"/>
    <w:rsid w:val="003052A0"/>
    <w:rsid w:val="00313DDC"/>
    <w:rsid w:val="00333690"/>
    <w:rsid w:val="0033642B"/>
    <w:rsid w:val="0034538B"/>
    <w:rsid w:val="003526A9"/>
    <w:rsid w:val="00352E55"/>
    <w:rsid w:val="00375096"/>
    <w:rsid w:val="00380C2F"/>
    <w:rsid w:val="003B1BA6"/>
    <w:rsid w:val="003F635B"/>
    <w:rsid w:val="00411B87"/>
    <w:rsid w:val="00426926"/>
    <w:rsid w:val="00433647"/>
    <w:rsid w:val="00444975"/>
    <w:rsid w:val="00451225"/>
    <w:rsid w:val="00453AFA"/>
    <w:rsid w:val="0046169D"/>
    <w:rsid w:val="00491629"/>
    <w:rsid w:val="00494AA9"/>
    <w:rsid w:val="004B2587"/>
    <w:rsid w:val="004B7AD0"/>
    <w:rsid w:val="004F0540"/>
    <w:rsid w:val="004F0EA4"/>
    <w:rsid w:val="00503BE5"/>
    <w:rsid w:val="00537541"/>
    <w:rsid w:val="005626D2"/>
    <w:rsid w:val="00582168"/>
    <w:rsid w:val="005D06A7"/>
    <w:rsid w:val="005D2A96"/>
    <w:rsid w:val="0062256B"/>
    <w:rsid w:val="006322E9"/>
    <w:rsid w:val="006328DF"/>
    <w:rsid w:val="00635011"/>
    <w:rsid w:val="00647AB6"/>
    <w:rsid w:val="00690C78"/>
    <w:rsid w:val="00692DAA"/>
    <w:rsid w:val="006A31F5"/>
    <w:rsid w:val="006C4671"/>
    <w:rsid w:val="006E360F"/>
    <w:rsid w:val="006E5159"/>
    <w:rsid w:val="006F1B7B"/>
    <w:rsid w:val="006F56CE"/>
    <w:rsid w:val="00711172"/>
    <w:rsid w:val="00715D5B"/>
    <w:rsid w:val="00734C1C"/>
    <w:rsid w:val="00747848"/>
    <w:rsid w:val="00752B20"/>
    <w:rsid w:val="00752E65"/>
    <w:rsid w:val="007534B0"/>
    <w:rsid w:val="007608CA"/>
    <w:rsid w:val="0077259C"/>
    <w:rsid w:val="00793301"/>
    <w:rsid w:val="007A008C"/>
    <w:rsid w:val="007A75FC"/>
    <w:rsid w:val="007B0123"/>
    <w:rsid w:val="007B1ABD"/>
    <w:rsid w:val="007C4BDD"/>
    <w:rsid w:val="007C5910"/>
    <w:rsid w:val="007F6F21"/>
    <w:rsid w:val="00803DA0"/>
    <w:rsid w:val="0083299A"/>
    <w:rsid w:val="00875AA3"/>
    <w:rsid w:val="00880179"/>
    <w:rsid w:val="0089545F"/>
    <w:rsid w:val="00895AB8"/>
    <w:rsid w:val="008A187C"/>
    <w:rsid w:val="008C2D25"/>
    <w:rsid w:val="008F25D4"/>
    <w:rsid w:val="009008EA"/>
    <w:rsid w:val="009125B7"/>
    <w:rsid w:val="0093121A"/>
    <w:rsid w:val="00942EB6"/>
    <w:rsid w:val="00953594"/>
    <w:rsid w:val="0097495C"/>
    <w:rsid w:val="00975AEC"/>
    <w:rsid w:val="009A4D2D"/>
    <w:rsid w:val="009A765B"/>
    <w:rsid w:val="009C30B9"/>
    <w:rsid w:val="009C65E1"/>
    <w:rsid w:val="009D1F13"/>
    <w:rsid w:val="009E1219"/>
    <w:rsid w:val="00A40150"/>
    <w:rsid w:val="00A43D3D"/>
    <w:rsid w:val="00A502FA"/>
    <w:rsid w:val="00A6157B"/>
    <w:rsid w:val="00A827E6"/>
    <w:rsid w:val="00A86BF0"/>
    <w:rsid w:val="00AA79DE"/>
    <w:rsid w:val="00AB0877"/>
    <w:rsid w:val="00AB3368"/>
    <w:rsid w:val="00B200A0"/>
    <w:rsid w:val="00B25AA5"/>
    <w:rsid w:val="00B6162C"/>
    <w:rsid w:val="00B72CAA"/>
    <w:rsid w:val="00B73A1A"/>
    <w:rsid w:val="00B93CF1"/>
    <w:rsid w:val="00BA6F83"/>
    <w:rsid w:val="00BB37A4"/>
    <w:rsid w:val="00BC5A85"/>
    <w:rsid w:val="00BE594E"/>
    <w:rsid w:val="00BF31F4"/>
    <w:rsid w:val="00BF6DF8"/>
    <w:rsid w:val="00C32AA8"/>
    <w:rsid w:val="00C4741F"/>
    <w:rsid w:val="00C5176F"/>
    <w:rsid w:val="00C55AC3"/>
    <w:rsid w:val="00C64AA7"/>
    <w:rsid w:val="00C9297F"/>
    <w:rsid w:val="00CF574C"/>
    <w:rsid w:val="00D01778"/>
    <w:rsid w:val="00D1530F"/>
    <w:rsid w:val="00D275A3"/>
    <w:rsid w:val="00D409ED"/>
    <w:rsid w:val="00D91BAB"/>
    <w:rsid w:val="00D9393E"/>
    <w:rsid w:val="00DA6167"/>
    <w:rsid w:val="00DB7976"/>
    <w:rsid w:val="00DD3D27"/>
    <w:rsid w:val="00DE045F"/>
    <w:rsid w:val="00DE564F"/>
    <w:rsid w:val="00DF0A08"/>
    <w:rsid w:val="00DF3C7C"/>
    <w:rsid w:val="00E11188"/>
    <w:rsid w:val="00E246CE"/>
    <w:rsid w:val="00E374B1"/>
    <w:rsid w:val="00E4665A"/>
    <w:rsid w:val="00E7188B"/>
    <w:rsid w:val="00E74408"/>
    <w:rsid w:val="00E87D24"/>
    <w:rsid w:val="00E91558"/>
    <w:rsid w:val="00E93EF2"/>
    <w:rsid w:val="00E96444"/>
    <w:rsid w:val="00EB4DF4"/>
    <w:rsid w:val="00EC1DFC"/>
    <w:rsid w:val="00F05500"/>
    <w:rsid w:val="00F1451F"/>
    <w:rsid w:val="00F336C2"/>
    <w:rsid w:val="00F42ECD"/>
    <w:rsid w:val="00F5600B"/>
    <w:rsid w:val="00FC5D93"/>
    <w:rsid w:val="00FE1852"/>
    <w:rsid w:val="00FE5C6C"/>
    <w:rsid w:val="00FE63F0"/>
    <w:rsid w:val="00FE6792"/>
    <w:rsid w:val="00FF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D2D"/>
    <w:rPr>
      <w:lang w:val="es-PY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11A"/>
    <w:rPr>
      <w:rFonts w:ascii="Tahoma" w:hAnsi="Tahoma" w:cs="Tahoma"/>
      <w:sz w:val="16"/>
      <w:szCs w:val="16"/>
      <w:lang w:val="es-PY"/>
    </w:rPr>
  </w:style>
  <w:style w:type="character" w:styleId="Hipervnculo">
    <w:name w:val="Hyperlink"/>
    <w:basedOn w:val="Fuentedeprrafopredeter"/>
    <w:uiPriority w:val="99"/>
    <w:unhideWhenUsed/>
    <w:rsid w:val="00B93CF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C5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5A85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BC5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A85"/>
    <w:rPr>
      <w:lang w:val="es-P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91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6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lemiliore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evistasinvestigacion.unmsm.edu.pe/index.php/anales/article/view/1265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7DA6D6-FA51-4C14-86FE-CE38F690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1771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Raul</cp:lastModifiedBy>
  <cp:revision>37</cp:revision>
  <dcterms:created xsi:type="dcterms:W3CDTF">2017-03-26T16:36:00Z</dcterms:created>
  <dcterms:modified xsi:type="dcterms:W3CDTF">2017-05-02T23:42:00Z</dcterms:modified>
</cp:coreProperties>
</file>